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7EA9" w14:textId="6366A47E" w:rsidR="00BB44D1" w:rsidRPr="00BB44D1" w:rsidRDefault="00BB44D1" w:rsidP="00BB44D1">
      <w:pPr>
        <w:spacing w:line="360" w:lineRule="auto"/>
        <w:outlineLvl w:val="1"/>
        <w:rPr>
          <w:rFonts w:ascii="Arial" w:eastAsia="Arial" w:hAnsi="Arial" w:cs="Arial"/>
          <w:b/>
          <w:kern w:val="0"/>
          <w:sz w:val="28"/>
          <w:szCs w:val="28"/>
          <w:lang w:eastAsia="en-GB"/>
          <w14:ligatures w14:val="none"/>
        </w:rPr>
      </w:pPr>
      <w:bookmarkStart w:id="0" w:name="_vxu7l6o4m3gf" w:colFirst="0" w:colLast="0"/>
      <w:bookmarkEnd w:id="0"/>
      <w:r w:rsidRPr="00BB44D1">
        <w:rPr>
          <w:rFonts w:ascii="Arial" w:eastAsia="Arial" w:hAnsi="Arial" w:cs="Arial"/>
          <w:b/>
          <w:kern w:val="0"/>
          <w:sz w:val="28"/>
          <w:szCs w:val="28"/>
          <w:lang w:eastAsia="en-GB"/>
          <w14:ligatures w14:val="none"/>
        </w:rPr>
        <w:t>Supplement</w:t>
      </w:r>
    </w:p>
    <w:p w14:paraId="351652E8" w14:textId="77777777" w:rsidR="00BB44D1" w:rsidRDefault="00BB44D1" w:rsidP="00BB44D1">
      <w:pPr>
        <w:spacing w:line="360" w:lineRule="auto"/>
        <w:outlineLvl w:val="1"/>
        <w:rPr>
          <w:rFonts w:ascii="Arial" w:eastAsia="Arial" w:hAnsi="Arial" w:cs="Arial"/>
          <w:b/>
          <w:kern w:val="0"/>
          <w:lang w:eastAsia="en-GB"/>
          <w14:ligatures w14:val="none"/>
        </w:rPr>
      </w:pPr>
    </w:p>
    <w:p w14:paraId="5602D986" w14:textId="3B632B61" w:rsidR="00BB44D1" w:rsidRDefault="00BB44D1" w:rsidP="00BB44D1">
      <w:pPr>
        <w:spacing w:line="360" w:lineRule="auto"/>
        <w:outlineLvl w:val="1"/>
        <w:rPr>
          <w:rFonts w:ascii="Arial" w:eastAsia="Arial" w:hAnsi="Arial" w:cs="Arial"/>
          <w:b/>
          <w:kern w:val="0"/>
          <w:lang w:eastAsia="en-GB"/>
          <w14:ligatures w14:val="none"/>
        </w:rPr>
      </w:pPr>
      <w:r w:rsidRPr="00BB44D1">
        <w:rPr>
          <w:rFonts w:ascii="Arial" w:eastAsia="Arial" w:hAnsi="Arial" w:cs="Arial"/>
          <w:b/>
          <w:kern w:val="0"/>
          <w:lang w:eastAsia="en-GB"/>
          <w14:ligatures w14:val="none"/>
        </w:rPr>
        <w:t xml:space="preserve">Protocol for a global cohort study: </w:t>
      </w:r>
      <w:proofErr w:type="spellStart"/>
      <w:r w:rsidRPr="00BB44D1">
        <w:rPr>
          <w:rFonts w:ascii="Arial" w:eastAsia="Arial" w:hAnsi="Arial" w:cs="Arial"/>
          <w:b/>
          <w:kern w:val="0"/>
          <w:lang w:eastAsia="en-GB"/>
          <w14:ligatures w14:val="none"/>
        </w:rPr>
        <w:t>HernIas</w:t>
      </w:r>
      <w:proofErr w:type="spellEnd"/>
      <w:r w:rsidRPr="00BB44D1">
        <w:rPr>
          <w:rFonts w:ascii="Arial" w:eastAsia="Arial" w:hAnsi="Arial" w:cs="Arial"/>
          <w:b/>
          <w:kern w:val="0"/>
          <w:lang w:eastAsia="en-GB"/>
          <w14:ligatures w14:val="none"/>
        </w:rPr>
        <w:t>, Pathway and Planetary Outcomes for Inguinal Hernia Surgery (HIPPO)</w:t>
      </w:r>
    </w:p>
    <w:p w14:paraId="56D4C481" w14:textId="77777777" w:rsidR="00BB44D1" w:rsidRPr="00BB44D1" w:rsidRDefault="00BB44D1" w:rsidP="00BB44D1">
      <w:pPr>
        <w:spacing w:line="360" w:lineRule="auto"/>
        <w:rPr>
          <w:rFonts w:ascii="Arial" w:eastAsia="Arial" w:hAnsi="Arial" w:cs="Arial"/>
          <w:kern w:val="0"/>
          <w:sz w:val="22"/>
          <w:szCs w:val="22"/>
          <w:lang w:eastAsia="en-GB"/>
          <w14:ligatures w14:val="none"/>
        </w:rPr>
      </w:pPr>
    </w:p>
    <w:p w14:paraId="3B83639A" w14:textId="77777777" w:rsidR="00BB44D1" w:rsidRPr="00BB44D1" w:rsidRDefault="00BB44D1" w:rsidP="00BB44D1">
      <w:pPr>
        <w:spacing w:line="360" w:lineRule="auto"/>
        <w:rPr>
          <w:rFonts w:ascii="Arial" w:eastAsia="Arial" w:hAnsi="Arial" w:cs="Arial"/>
          <w:kern w:val="0"/>
          <w:sz w:val="22"/>
          <w:szCs w:val="22"/>
          <w:lang w:eastAsia="en-GB"/>
          <w14:ligatures w14:val="none"/>
        </w:rPr>
      </w:pPr>
      <w:r w:rsidRPr="00BB44D1">
        <w:rPr>
          <w:rFonts w:ascii="Arial" w:eastAsia="Arial" w:hAnsi="Arial" w:cs="Arial"/>
          <w:kern w:val="0"/>
          <w:sz w:val="22"/>
          <w:szCs w:val="22"/>
          <w:lang w:eastAsia="en-GB"/>
          <w14:ligatures w14:val="none"/>
        </w:rPr>
        <w:t>NIHR Global Research Health Unit on Global Surgery</w:t>
      </w:r>
    </w:p>
    <w:p w14:paraId="3A90E383" w14:textId="77777777" w:rsidR="00BB44D1" w:rsidRPr="00BB44D1" w:rsidRDefault="00BB44D1" w:rsidP="00BB44D1">
      <w:pPr>
        <w:spacing w:line="360" w:lineRule="auto"/>
        <w:rPr>
          <w:rFonts w:ascii="Arial" w:eastAsia="Arial" w:hAnsi="Arial" w:cs="Arial"/>
          <w:kern w:val="0"/>
          <w:sz w:val="22"/>
          <w:szCs w:val="22"/>
          <w:lang w:eastAsia="en-GB"/>
          <w14:ligatures w14:val="none"/>
        </w:rPr>
      </w:pPr>
      <w:r w:rsidRPr="00BB44D1">
        <w:rPr>
          <w:rFonts w:ascii="Arial" w:eastAsia="Arial" w:hAnsi="Arial" w:cs="Arial"/>
          <w:kern w:val="0"/>
          <w:sz w:val="22"/>
          <w:szCs w:val="22"/>
          <w:lang w:eastAsia="en-GB"/>
          <w14:ligatures w14:val="none"/>
        </w:rPr>
        <w:tab/>
        <w:t>A full list of collaborating authors is shown in Appendix 1</w:t>
      </w:r>
    </w:p>
    <w:p w14:paraId="6374E6E3" w14:textId="77777777" w:rsidR="00BB44D1" w:rsidRDefault="00BB44D1" w:rsidP="00BB44D1">
      <w:pPr>
        <w:spacing w:line="360" w:lineRule="auto"/>
        <w:rPr>
          <w:rFonts w:ascii="Arial" w:eastAsia="Arial" w:hAnsi="Arial" w:cs="Arial"/>
          <w:kern w:val="0"/>
          <w:sz w:val="22"/>
          <w:szCs w:val="22"/>
          <w:lang w:eastAsia="en-GB"/>
          <w14:ligatures w14:val="none"/>
        </w:rPr>
      </w:pPr>
    </w:p>
    <w:p w14:paraId="2AC00CBE" w14:textId="77777777" w:rsidR="00BB44D1" w:rsidRPr="00BB44D1" w:rsidRDefault="00BB44D1" w:rsidP="00BB44D1">
      <w:pPr>
        <w:spacing w:line="360" w:lineRule="auto"/>
        <w:rPr>
          <w:rFonts w:ascii="Arial" w:eastAsia="Arial" w:hAnsi="Arial" w:cs="Arial"/>
          <w:kern w:val="0"/>
          <w:sz w:val="22"/>
          <w:szCs w:val="22"/>
          <w:lang w:eastAsia="en-GB"/>
          <w14:ligatures w14:val="none"/>
        </w:rPr>
      </w:pPr>
    </w:p>
    <w:p w14:paraId="16CA8B8D" w14:textId="77777777" w:rsidR="00BB44D1" w:rsidRPr="00BB44D1" w:rsidRDefault="00BB44D1" w:rsidP="00BB44D1">
      <w:pPr>
        <w:spacing w:line="392" w:lineRule="auto"/>
        <w:rPr>
          <w:rFonts w:ascii="Arial" w:eastAsia="Arial" w:hAnsi="Arial" w:cs="Arial"/>
          <w:b/>
          <w:kern w:val="0"/>
          <w:sz w:val="22"/>
          <w:szCs w:val="22"/>
          <w:lang w:eastAsia="en-GB"/>
          <w14:ligatures w14:val="none"/>
        </w:rPr>
      </w:pPr>
      <w:r w:rsidRPr="00BB44D1">
        <w:rPr>
          <w:rFonts w:ascii="Arial" w:eastAsia="Arial" w:hAnsi="Arial" w:cs="Arial"/>
          <w:b/>
          <w:kern w:val="0"/>
          <w:sz w:val="22"/>
          <w:szCs w:val="22"/>
          <w:lang w:eastAsia="en-GB"/>
          <w14:ligatures w14:val="none"/>
        </w:rPr>
        <w:t>Corresponding author:</w:t>
      </w:r>
    </w:p>
    <w:p w14:paraId="73586813" w14:textId="77777777" w:rsidR="00BB44D1" w:rsidRPr="00BB44D1" w:rsidRDefault="00BB44D1" w:rsidP="00BB44D1">
      <w:pPr>
        <w:spacing w:line="392" w:lineRule="auto"/>
        <w:rPr>
          <w:rFonts w:ascii="Arial" w:eastAsia="Arial" w:hAnsi="Arial" w:cs="Arial"/>
          <w:kern w:val="0"/>
          <w:sz w:val="22"/>
          <w:szCs w:val="22"/>
          <w:lang w:eastAsia="en-GB"/>
          <w14:ligatures w14:val="none"/>
        </w:rPr>
      </w:pPr>
      <w:r w:rsidRPr="00BB44D1">
        <w:rPr>
          <w:rFonts w:ascii="Arial" w:eastAsia="Arial" w:hAnsi="Arial" w:cs="Arial"/>
          <w:kern w:val="0"/>
          <w:sz w:val="22"/>
          <w:szCs w:val="22"/>
          <w:lang w:eastAsia="en-GB"/>
          <w14:ligatures w14:val="none"/>
        </w:rPr>
        <w:t>Dr Maria Picciochi, NIHR Global Health Research Unit on Global Surgery, Institute of Applied Health Research, University of Birmingham, Birmingham B15 2TH, UK</w:t>
      </w:r>
    </w:p>
    <w:p w14:paraId="219DA886" w14:textId="77777777" w:rsidR="00BB44D1" w:rsidRDefault="00000000" w:rsidP="00BB44D1">
      <w:pPr>
        <w:spacing w:after="240" w:line="392" w:lineRule="auto"/>
        <w:rPr>
          <w:rFonts w:ascii="Arial" w:eastAsia="Arial" w:hAnsi="Arial" w:cs="Arial"/>
          <w:color w:val="800080"/>
          <w:kern w:val="0"/>
          <w:sz w:val="22"/>
          <w:szCs w:val="22"/>
          <w:lang w:eastAsia="en-GB"/>
          <w14:ligatures w14:val="none"/>
        </w:rPr>
      </w:pPr>
      <w:hyperlink r:id="rId6" w:history="1">
        <w:r w:rsidR="00BB44D1" w:rsidRPr="00BB44D1">
          <w:rPr>
            <w:rFonts w:ascii="Arial" w:eastAsia="Arial" w:hAnsi="Arial" w:cs="Arial"/>
            <w:color w:val="0000FF"/>
            <w:kern w:val="0"/>
            <w:sz w:val="22"/>
            <w:szCs w:val="22"/>
            <w:u w:val="single"/>
            <w:lang w:eastAsia="en-GB"/>
            <w14:ligatures w14:val="none"/>
          </w:rPr>
          <w:t>m.picciochi@bham.ac.uk</w:t>
        </w:r>
      </w:hyperlink>
      <w:r w:rsidR="00BB44D1" w:rsidRPr="00BB44D1">
        <w:rPr>
          <w:rFonts w:ascii="Arial" w:eastAsia="Arial" w:hAnsi="Arial" w:cs="Arial"/>
          <w:color w:val="800080"/>
          <w:kern w:val="0"/>
          <w:sz w:val="22"/>
          <w:szCs w:val="22"/>
          <w:lang w:eastAsia="en-GB"/>
          <w14:ligatures w14:val="none"/>
        </w:rPr>
        <w:t xml:space="preserve"> </w:t>
      </w:r>
    </w:p>
    <w:p w14:paraId="1B075E24" w14:textId="77777777" w:rsidR="00BB44D1" w:rsidRDefault="00BB44D1" w:rsidP="00BB44D1">
      <w:pPr>
        <w:spacing w:after="240" w:line="392" w:lineRule="auto"/>
        <w:rPr>
          <w:rFonts w:ascii="Arial" w:eastAsia="Arial" w:hAnsi="Arial" w:cs="Arial"/>
          <w:color w:val="800080"/>
          <w:kern w:val="0"/>
          <w:sz w:val="22"/>
          <w:szCs w:val="22"/>
          <w:lang w:eastAsia="en-GB"/>
          <w14:ligatures w14:val="none"/>
        </w:rPr>
      </w:pPr>
    </w:p>
    <w:p w14:paraId="6A9178CB" w14:textId="77777777" w:rsidR="00BB44D1" w:rsidRDefault="00BB44D1" w:rsidP="00BB44D1">
      <w:pPr>
        <w:spacing w:line="360" w:lineRule="auto"/>
        <w:rPr>
          <w:rFonts w:ascii="Arial" w:eastAsia="Arial" w:hAnsi="Arial" w:cs="Arial"/>
          <w:sz w:val="22"/>
          <w:szCs w:val="22"/>
        </w:rPr>
      </w:pPr>
      <w:r>
        <w:rPr>
          <w:rFonts w:ascii="Arial" w:eastAsia="Arial" w:hAnsi="Arial" w:cs="Arial"/>
          <w:b/>
          <w:sz w:val="22"/>
          <w:szCs w:val="22"/>
        </w:rPr>
        <w:t>Acknowledgments:</w:t>
      </w:r>
      <w:r>
        <w:rPr>
          <w:rFonts w:ascii="Arial" w:eastAsia="Arial" w:hAnsi="Arial" w:cs="Arial"/>
          <w:sz w:val="22"/>
          <w:szCs w:val="22"/>
        </w:rPr>
        <w:t xml:space="preserve"> This study was supported by NIHR Global Health Research Unit Grant (NIHR16.136.79) and a project research grant from Portuguese Hernia and Abdominal Wall Society (</w:t>
      </w:r>
      <w:proofErr w:type="spellStart"/>
      <w:r>
        <w:rPr>
          <w:rFonts w:ascii="Arial" w:eastAsia="Arial" w:hAnsi="Arial" w:cs="Arial"/>
          <w:sz w:val="22"/>
          <w:szCs w:val="22"/>
        </w:rPr>
        <w:t>Sociedade</w:t>
      </w:r>
      <w:proofErr w:type="spellEnd"/>
      <w:r>
        <w:rPr>
          <w:rFonts w:ascii="Arial" w:eastAsia="Arial" w:hAnsi="Arial" w:cs="Arial"/>
          <w:sz w:val="22"/>
          <w:szCs w:val="22"/>
        </w:rPr>
        <w:t xml:space="preserve"> Portuguesa de Hernia e </w:t>
      </w:r>
      <w:proofErr w:type="spellStart"/>
      <w:r>
        <w:rPr>
          <w:rFonts w:ascii="Arial" w:eastAsia="Arial" w:hAnsi="Arial" w:cs="Arial"/>
          <w:sz w:val="22"/>
          <w:szCs w:val="22"/>
        </w:rPr>
        <w:t>Parede</w:t>
      </w:r>
      <w:proofErr w:type="spellEnd"/>
      <w:r>
        <w:rPr>
          <w:rFonts w:ascii="Arial" w:eastAsia="Arial" w:hAnsi="Arial" w:cs="Arial"/>
          <w:sz w:val="22"/>
          <w:szCs w:val="22"/>
        </w:rPr>
        <w:t xml:space="preserve"> Abdominal). The funders had no role in study design or writing of this report. The views expressed are those of the authors and not necessarily those of the National Health Service, the NIHR or the UK Department of Health and Social Care.</w:t>
      </w:r>
    </w:p>
    <w:p w14:paraId="70224954" w14:textId="77777777" w:rsidR="00BB44D1" w:rsidRPr="00BB44D1" w:rsidRDefault="00BB44D1" w:rsidP="00BB44D1">
      <w:pPr>
        <w:spacing w:after="240" w:line="392" w:lineRule="auto"/>
        <w:rPr>
          <w:rFonts w:ascii="Arial" w:eastAsia="Arial" w:hAnsi="Arial" w:cs="Arial"/>
          <w:color w:val="800080"/>
          <w:kern w:val="0"/>
          <w:sz w:val="22"/>
          <w:szCs w:val="22"/>
          <w:lang w:eastAsia="en-GB"/>
          <w14:ligatures w14:val="none"/>
        </w:rPr>
      </w:pPr>
    </w:p>
    <w:p w14:paraId="5E57CC39" w14:textId="77777777" w:rsidR="00BB44D1" w:rsidRPr="00407DC1" w:rsidRDefault="00BB44D1" w:rsidP="00BB44D1">
      <w:pPr>
        <w:spacing w:line="360" w:lineRule="auto"/>
        <w:rPr>
          <w:rFonts w:ascii="Arial" w:hAnsi="Arial" w:cs="Arial"/>
          <w:b/>
          <w:bCs/>
          <w:color w:val="222222"/>
          <w:sz w:val="26"/>
          <w:szCs w:val="26"/>
        </w:rPr>
      </w:pPr>
      <w:r w:rsidRPr="00407DC1">
        <w:rPr>
          <w:rFonts w:ascii="Arial" w:hAnsi="Arial" w:cs="Arial"/>
          <w:b/>
          <w:bCs/>
          <w:color w:val="222222"/>
          <w:sz w:val="26"/>
          <w:szCs w:val="26"/>
        </w:rPr>
        <w:t>Appendices</w:t>
      </w:r>
    </w:p>
    <w:p w14:paraId="6942857D" w14:textId="77777777" w:rsidR="00BB44D1" w:rsidRPr="00170977" w:rsidRDefault="00BB44D1" w:rsidP="00BB44D1">
      <w:pPr>
        <w:spacing w:line="360" w:lineRule="auto"/>
        <w:rPr>
          <w:rFonts w:ascii="Arial" w:hAnsi="Arial" w:cs="Arial"/>
          <w:b/>
          <w:bCs/>
          <w:color w:val="222222"/>
          <w:sz w:val="28"/>
          <w:szCs w:val="28"/>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706"/>
      </w:tblGrid>
      <w:tr w:rsidR="00BB44D1" w:rsidRPr="00170977" w14:paraId="35F7CBB8" w14:textId="77777777" w:rsidTr="001248B7">
        <w:tc>
          <w:tcPr>
            <w:tcW w:w="7508" w:type="dxa"/>
          </w:tcPr>
          <w:p w14:paraId="380803FF" w14:textId="77777777" w:rsidR="00BB44D1" w:rsidRPr="00170977" w:rsidRDefault="00BB44D1" w:rsidP="001248B7">
            <w:pPr>
              <w:spacing w:line="360" w:lineRule="auto"/>
              <w:rPr>
                <w:rFonts w:ascii="Arial" w:hAnsi="Arial" w:cs="Arial"/>
                <w:color w:val="222222"/>
              </w:rPr>
            </w:pPr>
            <w:r w:rsidRPr="00170977">
              <w:rPr>
                <w:rFonts w:ascii="Arial" w:hAnsi="Arial" w:cs="Arial"/>
                <w:color w:val="222222"/>
              </w:rPr>
              <w:t>Appendix 1 – List of authors</w:t>
            </w:r>
          </w:p>
        </w:tc>
        <w:tc>
          <w:tcPr>
            <w:tcW w:w="1706" w:type="dxa"/>
          </w:tcPr>
          <w:p w14:paraId="268E2395" w14:textId="77777777" w:rsidR="00BB44D1" w:rsidRPr="00170977" w:rsidRDefault="00BB44D1" w:rsidP="001248B7">
            <w:pPr>
              <w:spacing w:line="360" w:lineRule="auto"/>
              <w:rPr>
                <w:rFonts w:ascii="Arial" w:hAnsi="Arial" w:cs="Arial"/>
                <w:color w:val="222222"/>
              </w:rPr>
            </w:pPr>
            <w:r w:rsidRPr="00170977">
              <w:rPr>
                <w:rFonts w:ascii="Arial" w:hAnsi="Arial" w:cs="Arial"/>
                <w:color w:val="222222"/>
              </w:rPr>
              <w:t xml:space="preserve">Pages </w:t>
            </w:r>
            <w:r>
              <w:rPr>
                <w:rFonts w:ascii="Arial" w:hAnsi="Arial" w:cs="Arial"/>
                <w:color w:val="222222"/>
              </w:rPr>
              <w:t>1-34</w:t>
            </w:r>
          </w:p>
        </w:tc>
      </w:tr>
      <w:tr w:rsidR="00BB44D1" w:rsidRPr="00170977" w14:paraId="0FD8E01D" w14:textId="77777777" w:rsidTr="001248B7">
        <w:tc>
          <w:tcPr>
            <w:tcW w:w="7508" w:type="dxa"/>
          </w:tcPr>
          <w:p w14:paraId="7E4F1B58" w14:textId="17EADD25" w:rsidR="00BB44D1" w:rsidRPr="00170977" w:rsidRDefault="00BB44D1" w:rsidP="001248B7">
            <w:pPr>
              <w:spacing w:line="360" w:lineRule="auto"/>
              <w:rPr>
                <w:rFonts w:ascii="Arial" w:hAnsi="Arial" w:cs="Arial"/>
                <w:color w:val="222222"/>
              </w:rPr>
            </w:pPr>
            <w:r w:rsidRPr="00170977">
              <w:rPr>
                <w:rFonts w:ascii="Arial" w:hAnsi="Arial" w:cs="Arial"/>
                <w:color w:val="222222"/>
              </w:rPr>
              <w:t xml:space="preserve">Appendix 2 – </w:t>
            </w:r>
            <w:r w:rsidR="00EA15EB">
              <w:rPr>
                <w:rFonts w:ascii="Arial" w:hAnsi="Arial" w:cs="Arial"/>
                <w:color w:val="222222"/>
              </w:rPr>
              <w:t>Case report form</w:t>
            </w:r>
            <w:r w:rsidRPr="00170977">
              <w:rPr>
                <w:rFonts w:ascii="Arial" w:hAnsi="Arial" w:cs="Arial"/>
                <w:color w:val="222222"/>
              </w:rPr>
              <w:t xml:space="preserve"> </w:t>
            </w:r>
          </w:p>
        </w:tc>
        <w:tc>
          <w:tcPr>
            <w:tcW w:w="1706" w:type="dxa"/>
          </w:tcPr>
          <w:p w14:paraId="3BD90671" w14:textId="77777777" w:rsidR="00BB44D1" w:rsidRPr="00170977" w:rsidRDefault="00BB44D1" w:rsidP="001248B7">
            <w:pPr>
              <w:spacing w:line="360" w:lineRule="auto"/>
              <w:rPr>
                <w:rFonts w:ascii="Arial" w:hAnsi="Arial" w:cs="Arial"/>
                <w:color w:val="222222"/>
              </w:rPr>
            </w:pPr>
            <w:r w:rsidRPr="00170977">
              <w:rPr>
                <w:rFonts w:ascii="Arial" w:hAnsi="Arial" w:cs="Arial"/>
                <w:color w:val="222222"/>
              </w:rPr>
              <w:t>Pages</w:t>
            </w:r>
            <w:r>
              <w:rPr>
                <w:rFonts w:ascii="Arial" w:hAnsi="Arial" w:cs="Arial"/>
                <w:color w:val="222222"/>
              </w:rPr>
              <w:t xml:space="preserve"> 35-45</w:t>
            </w:r>
            <w:r w:rsidRPr="00170977">
              <w:rPr>
                <w:rFonts w:ascii="Arial" w:hAnsi="Arial" w:cs="Arial"/>
                <w:color w:val="222222"/>
              </w:rPr>
              <w:t xml:space="preserve"> </w:t>
            </w:r>
          </w:p>
        </w:tc>
      </w:tr>
      <w:tr w:rsidR="00EA15EB" w:rsidRPr="00170977" w14:paraId="7EF5B0F2" w14:textId="77777777" w:rsidTr="001248B7">
        <w:tc>
          <w:tcPr>
            <w:tcW w:w="7508" w:type="dxa"/>
          </w:tcPr>
          <w:p w14:paraId="34D9FE79" w14:textId="7CD017D0" w:rsidR="00EA15EB" w:rsidRPr="00170977" w:rsidRDefault="00EA15EB" w:rsidP="001248B7">
            <w:pPr>
              <w:spacing w:line="360" w:lineRule="auto"/>
              <w:rPr>
                <w:rFonts w:ascii="Arial" w:hAnsi="Arial" w:cs="Arial"/>
                <w:color w:val="222222"/>
              </w:rPr>
            </w:pPr>
            <w:r>
              <w:rPr>
                <w:rFonts w:ascii="Arial" w:hAnsi="Arial" w:cs="Arial"/>
                <w:color w:val="222222"/>
              </w:rPr>
              <w:t xml:space="preserve">Appendix 3 </w:t>
            </w:r>
            <w:r w:rsidR="00260879">
              <w:rPr>
                <w:rFonts w:ascii="Arial" w:hAnsi="Arial" w:cs="Arial"/>
                <w:color w:val="222222"/>
              </w:rPr>
              <w:t>–</w:t>
            </w:r>
            <w:r>
              <w:rPr>
                <w:rFonts w:ascii="Arial" w:hAnsi="Arial" w:cs="Arial"/>
                <w:color w:val="222222"/>
              </w:rPr>
              <w:t xml:space="preserve"> </w:t>
            </w:r>
            <w:r w:rsidR="00260879">
              <w:rPr>
                <w:rFonts w:ascii="Arial" w:hAnsi="Arial" w:cs="Arial"/>
                <w:color w:val="222222"/>
              </w:rPr>
              <w:t>Hospital level survey</w:t>
            </w:r>
          </w:p>
        </w:tc>
        <w:tc>
          <w:tcPr>
            <w:tcW w:w="1706" w:type="dxa"/>
          </w:tcPr>
          <w:p w14:paraId="2A04386F" w14:textId="77777777" w:rsidR="00EA15EB" w:rsidRPr="00170977" w:rsidRDefault="00EA15EB" w:rsidP="001248B7">
            <w:pPr>
              <w:spacing w:line="360" w:lineRule="auto"/>
              <w:rPr>
                <w:rFonts w:ascii="Arial" w:hAnsi="Arial" w:cs="Arial"/>
                <w:color w:val="222222"/>
              </w:rPr>
            </w:pPr>
          </w:p>
        </w:tc>
      </w:tr>
      <w:tr w:rsidR="00260879" w:rsidRPr="00170977" w14:paraId="57B4A138" w14:textId="77777777" w:rsidTr="001248B7">
        <w:tc>
          <w:tcPr>
            <w:tcW w:w="7508" w:type="dxa"/>
          </w:tcPr>
          <w:p w14:paraId="1D521C9B" w14:textId="2DD2E161" w:rsidR="00260879" w:rsidRDefault="00260879" w:rsidP="00260879">
            <w:pPr>
              <w:spacing w:line="360" w:lineRule="auto"/>
              <w:rPr>
                <w:rFonts w:ascii="Arial" w:hAnsi="Arial" w:cs="Arial"/>
                <w:color w:val="222222"/>
              </w:rPr>
            </w:pPr>
            <w:r>
              <w:rPr>
                <w:rFonts w:ascii="Arial" w:hAnsi="Arial" w:cs="Arial"/>
                <w:color w:val="222222"/>
              </w:rPr>
              <w:t>Appendix 4 - Definitions</w:t>
            </w:r>
          </w:p>
        </w:tc>
        <w:tc>
          <w:tcPr>
            <w:tcW w:w="1706" w:type="dxa"/>
          </w:tcPr>
          <w:p w14:paraId="72202EE9" w14:textId="77777777" w:rsidR="00260879" w:rsidRPr="00170977" w:rsidRDefault="00260879" w:rsidP="00260879">
            <w:pPr>
              <w:spacing w:line="360" w:lineRule="auto"/>
              <w:rPr>
                <w:rFonts w:ascii="Arial" w:hAnsi="Arial" w:cs="Arial"/>
                <w:color w:val="222222"/>
              </w:rPr>
            </w:pPr>
          </w:p>
        </w:tc>
      </w:tr>
    </w:tbl>
    <w:p w14:paraId="3856EDAE" w14:textId="77777777" w:rsidR="00BB44D1" w:rsidRPr="00BB44D1" w:rsidRDefault="00BB44D1" w:rsidP="00BB44D1">
      <w:pPr>
        <w:spacing w:line="276" w:lineRule="auto"/>
        <w:rPr>
          <w:rFonts w:ascii="Arial" w:eastAsia="Arial" w:hAnsi="Arial" w:cs="Arial"/>
          <w:kern w:val="0"/>
          <w:sz w:val="22"/>
          <w:szCs w:val="22"/>
          <w:lang w:eastAsia="en-GB"/>
          <w14:ligatures w14:val="none"/>
        </w:rPr>
      </w:pPr>
    </w:p>
    <w:p w14:paraId="4C8B6C5F" w14:textId="5B74A1DD" w:rsidR="00BB44D1" w:rsidRDefault="00BB44D1">
      <w:r>
        <w:br w:type="page"/>
      </w:r>
    </w:p>
    <w:p w14:paraId="7E3AE9A1" w14:textId="77777777" w:rsidR="00BB44D1" w:rsidRPr="00CF64F2" w:rsidRDefault="00BB44D1" w:rsidP="00BB44D1">
      <w:pPr>
        <w:spacing w:line="360" w:lineRule="auto"/>
        <w:rPr>
          <w:rFonts w:ascii="Arial" w:hAnsi="Arial" w:cs="Arial"/>
          <w:b/>
          <w:bCs/>
          <w:color w:val="222222"/>
        </w:rPr>
      </w:pPr>
      <w:r w:rsidRPr="00170977">
        <w:rPr>
          <w:rFonts w:ascii="Arial" w:hAnsi="Arial" w:cs="Arial"/>
          <w:b/>
          <w:bCs/>
          <w:color w:val="222222"/>
        </w:rPr>
        <w:lastRenderedPageBreak/>
        <w:t>Appendix 1: List of authors</w:t>
      </w:r>
    </w:p>
    <w:p w14:paraId="3521BA61" w14:textId="5815AFA6" w:rsidR="00BB44D1" w:rsidRPr="00CF64F2" w:rsidRDefault="000A50E8" w:rsidP="00BB44D1">
      <w:pPr>
        <w:pStyle w:val="NormalWeb"/>
        <w:spacing w:before="0" w:beforeAutospacing="0" w:after="0" w:afterAutospacing="0" w:line="360" w:lineRule="auto"/>
        <w:rPr>
          <w:rFonts w:ascii="Arial" w:hAnsi="Arial" w:cs="Arial"/>
          <w:b/>
          <w:bCs/>
          <w:color w:val="222222"/>
          <w:sz w:val="20"/>
          <w:szCs w:val="20"/>
        </w:rPr>
      </w:pPr>
      <w:r>
        <w:rPr>
          <w:rFonts w:ascii="Arial" w:hAnsi="Arial" w:cs="Arial"/>
          <w:b/>
          <w:bCs/>
          <w:color w:val="222222"/>
          <w:sz w:val="20"/>
          <w:szCs w:val="20"/>
        </w:rPr>
        <w:t>Writing group</w:t>
      </w:r>
      <w:r w:rsidR="00BB44D1" w:rsidRPr="00CF64F2">
        <w:rPr>
          <w:rFonts w:ascii="Arial" w:hAnsi="Arial" w:cs="Arial"/>
          <w:b/>
          <w:bCs/>
          <w:color w:val="222222"/>
          <w:sz w:val="20"/>
          <w:szCs w:val="20"/>
        </w:rPr>
        <w:t xml:space="preserve"> </w:t>
      </w:r>
      <w:r w:rsidR="00BB44D1" w:rsidRPr="00CF64F2">
        <w:rPr>
          <w:rFonts w:ascii="Arial" w:hAnsi="Arial" w:cs="Arial"/>
          <w:color w:val="222222"/>
          <w:sz w:val="20"/>
          <w:szCs w:val="20"/>
        </w:rPr>
        <w:t>(listed by country)</w:t>
      </w:r>
      <w:r w:rsidR="00BB44D1" w:rsidRPr="00CF64F2">
        <w:rPr>
          <w:rFonts w:ascii="Arial" w:hAnsi="Arial" w:cs="Arial"/>
          <w:b/>
          <w:bCs/>
          <w:color w:val="222222"/>
          <w:sz w:val="20"/>
          <w:szCs w:val="20"/>
        </w:rPr>
        <w:t xml:space="preserve">: </w:t>
      </w:r>
    </w:p>
    <w:p w14:paraId="4916F55D" w14:textId="3FDEAE59" w:rsidR="000A50E8" w:rsidRDefault="000A50E8" w:rsidP="000A50E8">
      <w:pPr>
        <w:spacing w:line="360" w:lineRule="auto"/>
        <w:rPr>
          <w:rFonts w:ascii="Arial" w:hAnsi="Arial" w:cs="Arial"/>
          <w:color w:val="222222"/>
          <w:sz w:val="20"/>
          <w:szCs w:val="20"/>
        </w:rPr>
      </w:pPr>
      <w:r w:rsidRPr="00CF64F2">
        <w:rPr>
          <w:rFonts w:ascii="Arial" w:hAnsi="Arial" w:cs="Arial"/>
          <w:color w:val="222222"/>
          <w:sz w:val="20"/>
          <w:szCs w:val="20"/>
        </w:rPr>
        <w:t>M Picciochi</w:t>
      </w:r>
      <w:r>
        <w:rPr>
          <w:rFonts w:ascii="Arial" w:hAnsi="Arial" w:cs="Arial"/>
          <w:color w:val="222222"/>
          <w:sz w:val="20"/>
          <w:szCs w:val="20"/>
        </w:rPr>
        <w:t>*</w:t>
      </w:r>
      <w:r w:rsidRPr="00CF64F2">
        <w:rPr>
          <w:rFonts w:ascii="Arial" w:hAnsi="Arial" w:cs="Arial"/>
          <w:color w:val="222222"/>
          <w:sz w:val="20"/>
          <w:szCs w:val="20"/>
        </w:rPr>
        <w:t>, D Chaudhry</w:t>
      </w:r>
      <w:r>
        <w:rPr>
          <w:rFonts w:ascii="Arial" w:hAnsi="Arial" w:cs="Arial"/>
          <w:color w:val="222222"/>
          <w:sz w:val="20"/>
          <w:szCs w:val="20"/>
        </w:rPr>
        <w:t>*</w:t>
      </w:r>
      <w:r w:rsidRPr="00CF64F2">
        <w:rPr>
          <w:rFonts w:ascii="Arial" w:hAnsi="Arial" w:cs="Arial"/>
          <w:color w:val="222222"/>
          <w:sz w:val="20"/>
          <w:szCs w:val="20"/>
        </w:rPr>
        <w:t>,</w:t>
      </w:r>
      <w:r>
        <w:rPr>
          <w:rFonts w:ascii="Arial" w:hAnsi="Arial" w:cs="Arial"/>
          <w:color w:val="222222"/>
          <w:sz w:val="20"/>
          <w:szCs w:val="20"/>
        </w:rPr>
        <w:t xml:space="preserve"> </w:t>
      </w:r>
      <w:r w:rsidRPr="00CF64F2">
        <w:rPr>
          <w:rFonts w:ascii="Arial" w:hAnsi="Arial" w:cs="Arial"/>
          <w:color w:val="222222"/>
          <w:sz w:val="20"/>
          <w:szCs w:val="20"/>
        </w:rPr>
        <w:t xml:space="preserve">M </w:t>
      </w:r>
      <w:proofErr w:type="spellStart"/>
      <w:r w:rsidRPr="00CF64F2">
        <w:rPr>
          <w:rFonts w:ascii="Arial" w:hAnsi="Arial" w:cs="Arial"/>
          <w:color w:val="222222"/>
          <w:sz w:val="20"/>
          <w:szCs w:val="20"/>
        </w:rPr>
        <w:t>Elhadi</w:t>
      </w:r>
      <w:proofErr w:type="spellEnd"/>
      <w:r>
        <w:rPr>
          <w:rFonts w:ascii="Arial" w:hAnsi="Arial" w:cs="Arial"/>
          <w:color w:val="222222"/>
          <w:sz w:val="20"/>
          <w:szCs w:val="20"/>
        </w:rPr>
        <w:t>*</w:t>
      </w:r>
      <w:r w:rsidRPr="00CF64F2">
        <w:rPr>
          <w:rFonts w:ascii="Arial" w:hAnsi="Arial" w:cs="Arial"/>
          <w:color w:val="222222"/>
          <w:sz w:val="20"/>
          <w:szCs w:val="20"/>
        </w:rPr>
        <w:t xml:space="preserve">, I </w:t>
      </w:r>
      <w:proofErr w:type="spellStart"/>
      <w:r w:rsidRPr="00CF64F2">
        <w:rPr>
          <w:rFonts w:ascii="Arial" w:hAnsi="Arial" w:cs="Arial"/>
          <w:color w:val="222222"/>
          <w:sz w:val="20"/>
          <w:szCs w:val="20"/>
        </w:rPr>
        <w:t>Jakaityte</w:t>
      </w:r>
      <w:proofErr w:type="spellEnd"/>
      <w:r w:rsidR="00147A6C">
        <w:rPr>
          <w:rFonts w:ascii="Arial" w:hAnsi="Arial" w:cs="Arial"/>
          <w:color w:val="222222"/>
          <w:sz w:val="20"/>
          <w:szCs w:val="20"/>
        </w:rPr>
        <w:t>*</w:t>
      </w:r>
      <w:r>
        <w:rPr>
          <w:rFonts w:ascii="Arial" w:hAnsi="Arial" w:cs="Arial"/>
          <w:color w:val="222222"/>
          <w:sz w:val="20"/>
          <w:szCs w:val="20"/>
        </w:rPr>
        <w:t>,</w:t>
      </w:r>
      <w:r w:rsidRPr="00CF64F2">
        <w:rPr>
          <w:rFonts w:ascii="Arial" w:hAnsi="Arial" w:cs="Arial"/>
          <w:color w:val="000000"/>
          <w:sz w:val="20"/>
          <w:szCs w:val="20"/>
        </w:rPr>
        <w:t xml:space="preserve"> </w:t>
      </w:r>
      <w:r w:rsidRPr="00CF64F2">
        <w:rPr>
          <w:rFonts w:ascii="Arial" w:hAnsi="Arial" w:cs="Arial"/>
          <w:color w:val="222222"/>
          <w:sz w:val="20"/>
          <w:szCs w:val="20"/>
        </w:rPr>
        <w:t xml:space="preserve">SZY </w:t>
      </w:r>
      <w:proofErr w:type="spellStart"/>
      <w:r w:rsidRPr="00CF64F2">
        <w:rPr>
          <w:rFonts w:ascii="Arial" w:hAnsi="Arial" w:cs="Arial"/>
          <w:color w:val="222222"/>
          <w:sz w:val="20"/>
          <w:szCs w:val="20"/>
        </w:rPr>
        <w:t>Ooi</w:t>
      </w:r>
      <w:proofErr w:type="spellEnd"/>
      <w:r w:rsidR="00DF18AF">
        <w:rPr>
          <w:rFonts w:ascii="Arial" w:hAnsi="Arial" w:cs="Arial"/>
          <w:color w:val="222222"/>
          <w:sz w:val="20"/>
          <w:szCs w:val="20"/>
        </w:rPr>
        <w:t>*</w:t>
      </w:r>
      <w:r w:rsidRPr="00CF64F2">
        <w:rPr>
          <w:rFonts w:ascii="Arial" w:hAnsi="Arial" w:cs="Arial"/>
          <w:color w:val="222222"/>
          <w:sz w:val="20"/>
          <w:szCs w:val="20"/>
        </w:rPr>
        <w:t xml:space="preserve">, </w:t>
      </w:r>
      <w:r w:rsidRPr="00CF64F2">
        <w:rPr>
          <w:rFonts w:ascii="Arial" w:hAnsi="Arial" w:cs="Arial"/>
          <w:color w:val="000000"/>
          <w:sz w:val="20"/>
          <w:szCs w:val="20"/>
        </w:rPr>
        <w:t xml:space="preserve">AO </w:t>
      </w:r>
      <w:proofErr w:type="spellStart"/>
      <w:r w:rsidRPr="00CF64F2">
        <w:rPr>
          <w:rFonts w:ascii="Arial" w:hAnsi="Arial" w:cs="Arial"/>
          <w:color w:val="000000"/>
          <w:sz w:val="20"/>
          <w:szCs w:val="20"/>
        </w:rPr>
        <w:t>Ademuyiwa</w:t>
      </w:r>
      <w:proofErr w:type="spellEnd"/>
      <w:r w:rsidRPr="00CF64F2">
        <w:rPr>
          <w:rFonts w:ascii="Arial" w:hAnsi="Arial" w:cs="Arial"/>
          <w:color w:val="222222"/>
          <w:sz w:val="20"/>
          <w:szCs w:val="20"/>
        </w:rPr>
        <w:t xml:space="preserve">, </w:t>
      </w:r>
      <w:proofErr w:type="gramStart"/>
      <w:r w:rsidRPr="00CF64F2">
        <w:rPr>
          <w:rFonts w:ascii="Arial" w:hAnsi="Arial" w:cs="Arial"/>
          <w:color w:val="000000"/>
          <w:sz w:val="20"/>
          <w:szCs w:val="20"/>
        </w:rPr>
        <w:t>A</w:t>
      </w:r>
      <w:proofErr w:type="gramEnd"/>
      <w:r w:rsidRPr="00CF64F2">
        <w:rPr>
          <w:rFonts w:ascii="Arial" w:hAnsi="Arial" w:cs="Arial"/>
          <w:color w:val="000000"/>
          <w:sz w:val="20"/>
          <w:szCs w:val="20"/>
        </w:rPr>
        <w:t xml:space="preserve"> Adisa, AE Agbeko,</w:t>
      </w:r>
      <w:r w:rsidRPr="00CF64F2">
        <w:rPr>
          <w:rFonts w:ascii="Arial" w:hAnsi="Arial" w:cs="Arial"/>
          <w:color w:val="222222"/>
          <w:sz w:val="20"/>
          <w:szCs w:val="20"/>
        </w:rPr>
        <w:t xml:space="preserve"> JA </w:t>
      </w:r>
      <w:proofErr w:type="spellStart"/>
      <w:r w:rsidRPr="00CF64F2">
        <w:rPr>
          <w:rFonts w:ascii="Arial" w:hAnsi="Arial" w:cs="Arial"/>
          <w:color w:val="222222"/>
          <w:sz w:val="20"/>
          <w:szCs w:val="20"/>
        </w:rPr>
        <w:t>Calvache</w:t>
      </w:r>
      <w:proofErr w:type="spellEnd"/>
      <w:r w:rsidRPr="00CF64F2">
        <w:rPr>
          <w:rFonts w:ascii="Arial" w:hAnsi="Arial" w:cs="Arial"/>
          <w:color w:val="222222"/>
          <w:sz w:val="20"/>
          <w:szCs w:val="20"/>
        </w:rPr>
        <w:t xml:space="preserve">, </w:t>
      </w:r>
      <w:r w:rsidRPr="00CF64F2">
        <w:rPr>
          <w:rFonts w:ascii="Arial" w:hAnsi="Arial" w:cs="Arial"/>
          <w:color w:val="000000"/>
          <w:sz w:val="20"/>
          <w:szCs w:val="20"/>
        </w:rPr>
        <w:t>D Ghosh,</w:t>
      </w:r>
      <w:r w:rsidRPr="00CF64F2">
        <w:rPr>
          <w:rFonts w:ascii="Arial" w:hAnsi="Arial" w:cs="Arial"/>
          <w:color w:val="222222"/>
          <w:sz w:val="20"/>
          <w:szCs w:val="20"/>
        </w:rPr>
        <w:t xml:space="preserve"> J </w:t>
      </w:r>
      <w:proofErr w:type="spellStart"/>
      <w:r w:rsidRPr="00CF64F2">
        <w:rPr>
          <w:rFonts w:ascii="Arial" w:hAnsi="Arial" w:cs="Arial"/>
          <w:color w:val="222222"/>
          <w:sz w:val="20"/>
          <w:szCs w:val="20"/>
        </w:rPr>
        <w:t>Glasbey</w:t>
      </w:r>
      <w:proofErr w:type="spellEnd"/>
      <w:r w:rsidRPr="00CF64F2">
        <w:rPr>
          <w:rFonts w:ascii="Arial" w:hAnsi="Arial" w:cs="Arial"/>
          <w:color w:val="222222"/>
          <w:sz w:val="20"/>
          <w:szCs w:val="20"/>
        </w:rPr>
        <w:t xml:space="preserve">, </w:t>
      </w:r>
      <w:r w:rsidRPr="00CF64F2">
        <w:rPr>
          <w:rFonts w:ascii="Arial" w:hAnsi="Arial" w:cs="Arial"/>
          <w:color w:val="000000"/>
          <w:sz w:val="20"/>
          <w:szCs w:val="20"/>
        </w:rPr>
        <w:t>P</w:t>
      </w:r>
      <w:r>
        <w:rPr>
          <w:rFonts w:ascii="Arial" w:hAnsi="Arial" w:cs="Arial"/>
          <w:color w:val="000000"/>
          <w:sz w:val="20"/>
          <w:szCs w:val="20"/>
        </w:rPr>
        <w:t>D</w:t>
      </w:r>
      <w:r w:rsidRPr="00CF64F2">
        <w:rPr>
          <w:rFonts w:ascii="Arial" w:hAnsi="Arial" w:cs="Arial"/>
          <w:color w:val="000000"/>
          <w:sz w:val="20"/>
          <w:szCs w:val="20"/>
        </w:rPr>
        <w:t xml:space="preserve"> Haque,</w:t>
      </w:r>
      <w:r w:rsidRPr="00CF64F2">
        <w:rPr>
          <w:rFonts w:ascii="Arial" w:hAnsi="Arial" w:cs="Arial"/>
          <w:color w:val="222222"/>
          <w:sz w:val="20"/>
          <w:szCs w:val="20"/>
        </w:rPr>
        <w:t xml:space="preserve"> E Harrison, </w:t>
      </w:r>
      <w:r w:rsidRPr="00CF64F2">
        <w:rPr>
          <w:rFonts w:ascii="Arial" w:hAnsi="Arial" w:cs="Arial"/>
          <w:color w:val="000000"/>
          <w:sz w:val="20"/>
          <w:szCs w:val="20"/>
        </w:rPr>
        <w:t>B Kadir</w:t>
      </w:r>
      <w:r>
        <w:rPr>
          <w:rFonts w:ascii="Arial" w:hAnsi="Arial" w:cs="Arial"/>
          <w:color w:val="000000"/>
          <w:sz w:val="20"/>
          <w:szCs w:val="20"/>
        </w:rPr>
        <w:t>,</w:t>
      </w:r>
      <w:r w:rsidRPr="00CF64F2">
        <w:rPr>
          <w:rFonts w:ascii="Arial" w:hAnsi="Arial" w:cs="Arial"/>
          <w:color w:val="000000"/>
          <w:sz w:val="20"/>
          <w:szCs w:val="20"/>
        </w:rPr>
        <w:t xml:space="preserve"> </w:t>
      </w:r>
      <w:r w:rsidRPr="00CF64F2">
        <w:rPr>
          <w:rFonts w:ascii="Arial" w:hAnsi="Arial" w:cs="Arial"/>
          <w:color w:val="222222"/>
          <w:sz w:val="20"/>
          <w:szCs w:val="20"/>
        </w:rPr>
        <w:t xml:space="preserve">SK </w:t>
      </w:r>
      <w:proofErr w:type="spellStart"/>
      <w:r w:rsidRPr="00CF64F2">
        <w:rPr>
          <w:rFonts w:ascii="Arial" w:hAnsi="Arial" w:cs="Arial"/>
          <w:color w:val="222222"/>
          <w:sz w:val="20"/>
          <w:szCs w:val="20"/>
        </w:rPr>
        <w:t>Kamarajah</w:t>
      </w:r>
      <w:proofErr w:type="spellEnd"/>
      <w:r w:rsidRPr="00CF64F2">
        <w:rPr>
          <w:rFonts w:ascii="Arial" w:hAnsi="Arial" w:cs="Arial"/>
          <w:color w:val="222222"/>
          <w:sz w:val="20"/>
          <w:szCs w:val="20"/>
        </w:rPr>
        <w:t xml:space="preserve">, O </w:t>
      </w:r>
      <w:proofErr w:type="spellStart"/>
      <w:r w:rsidRPr="00CF64F2">
        <w:rPr>
          <w:rFonts w:ascii="Arial" w:hAnsi="Arial" w:cs="Arial"/>
          <w:color w:val="222222"/>
          <w:sz w:val="20"/>
          <w:szCs w:val="20"/>
        </w:rPr>
        <w:t>Kouli</w:t>
      </w:r>
      <w:proofErr w:type="spellEnd"/>
      <w:r w:rsidRPr="00CF64F2">
        <w:rPr>
          <w:rFonts w:ascii="Arial" w:hAnsi="Arial" w:cs="Arial"/>
          <w:color w:val="222222"/>
          <w:sz w:val="20"/>
          <w:szCs w:val="20"/>
        </w:rPr>
        <w:t xml:space="preserve">, </w:t>
      </w:r>
      <w:r w:rsidRPr="00CF64F2">
        <w:rPr>
          <w:rFonts w:ascii="Arial" w:hAnsi="Arial" w:cs="Arial"/>
          <w:color w:val="000000"/>
          <w:sz w:val="20"/>
          <w:szCs w:val="20"/>
        </w:rPr>
        <w:t>I Lawani, S Lawani,</w:t>
      </w:r>
      <w:r w:rsidRPr="00CF64F2">
        <w:rPr>
          <w:rFonts w:ascii="Arial" w:hAnsi="Arial" w:cs="Arial"/>
          <w:color w:val="222222"/>
          <w:sz w:val="20"/>
          <w:szCs w:val="20"/>
        </w:rPr>
        <w:t xml:space="preserve"> V </w:t>
      </w:r>
      <w:proofErr w:type="spellStart"/>
      <w:r w:rsidRPr="00CF64F2">
        <w:rPr>
          <w:rFonts w:ascii="Arial" w:hAnsi="Arial" w:cs="Arial"/>
          <w:color w:val="222222"/>
          <w:sz w:val="20"/>
          <w:szCs w:val="20"/>
        </w:rPr>
        <w:t>Ledda</w:t>
      </w:r>
      <w:proofErr w:type="spellEnd"/>
      <w:r w:rsidRPr="00CF64F2">
        <w:rPr>
          <w:rFonts w:ascii="Arial" w:hAnsi="Arial" w:cs="Arial"/>
          <w:color w:val="222222"/>
          <w:sz w:val="20"/>
          <w:szCs w:val="20"/>
        </w:rPr>
        <w:t xml:space="preserve">, E Li, </w:t>
      </w:r>
      <w:r w:rsidRPr="00CF64F2">
        <w:rPr>
          <w:rFonts w:ascii="Arial" w:hAnsi="Arial" w:cs="Arial"/>
          <w:color w:val="000000"/>
          <w:sz w:val="20"/>
          <w:szCs w:val="20"/>
        </w:rPr>
        <w:t xml:space="preserve">J Martin, </w:t>
      </w:r>
      <w:r w:rsidRPr="00CF64F2">
        <w:rPr>
          <w:rFonts w:ascii="Arial" w:hAnsi="Arial" w:cs="Arial"/>
          <w:color w:val="222222"/>
          <w:sz w:val="20"/>
          <w:szCs w:val="20"/>
        </w:rPr>
        <w:t xml:space="preserve">D Nepogodiev, </w:t>
      </w:r>
      <w:r w:rsidRPr="00CF64F2">
        <w:rPr>
          <w:rFonts w:ascii="Arial" w:hAnsi="Arial" w:cs="Arial"/>
          <w:color w:val="000000"/>
          <w:sz w:val="20"/>
          <w:szCs w:val="20"/>
        </w:rPr>
        <w:t xml:space="preserve">F </w:t>
      </w:r>
      <w:proofErr w:type="spellStart"/>
      <w:r w:rsidRPr="00CF64F2">
        <w:rPr>
          <w:rFonts w:ascii="Arial" w:hAnsi="Arial" w:cs="Arial"/>
          <w:color w:val="000000"/>
          <w:sz w:val="20"/>
          <w:szCs w:val="20"/>
        </w:rPr>
        <w:t>Ntirenganya</w:t>
      </w:r>
      <w:proofErr w:type="spellEnd"/>
      <w:r w:rsidRPr="00CF64F2">
        <w:rPr>
          <w:rFonts w:ascii="Arial" w:hAnsi="Arial" w:cs="Arial"/>
          <w:color w:val="000000"/>
          <w:sz w:val="20"/>
          <w:szCs w:val="20"/>
        </w:rPr>
        <w:t>,</w:t>
      </w:r>
      <w:r w:rsidRPr="00CF64F2">
        <w:rPr>
          <w:rFonts w:ascii="Arial" w:hAnsi="Arial" w:cs="Arial"/>
          <w:color w:val="222222"/>
          <w:sz w:val="20"/>
          <w:szCs w:val="20"/>
        </w:rPr>
        <w:t xml:space="preserve"> </w:t>
      </w:r>
      <w:r w:rsidRPr="00CF64F2">
        <w:rPr>
          <w:rFonts w:ascii="Arial" w:hAnsi="Arial" w:cs="Arial"/>
          <w:color w:val="000000"/>
          <w:sz w:val="20"/>
          <w:szCs w:val="20"/>
        </w:rPr>
        <w:t>O Omar,</w:t>
      </w:r>
      <w:r w:rsidRPr="00CF64F2">
        <w:rPr>
          <w:rFonts w:ascii="Arial" w:hAnsi="Arial" w:cs="Arial"/>
          <w:color w:val="222222"/>
          <w:sz w:val="20"/>
          <w:szCs w:val="20"/>
        </w:rPr>
        <w:t xml:space="preserve"> </w:t>
      </w:r>
      <w:r w:rsidRPr="00CF64F2">
        <w:rPr>
          <w:rFonts w:ascii="Arial" w:hAnsi="Arial" w:cs="Arial"/>
          <w:color w:val="000000"/>
          <w:sz w:val="20"/>
          <w:szCs w:val="20"/>
        </w:rPr>
        <w:t>A Ramos-De la Medina,</w:t>
      </w:r>
      <w:r w:rsidRPr="00CF64F2">
        <w:rPr>
          <w:rFonts w:ascii="Arial" w:hAnsi="Arial" w:cs="Arial"/>
          <w:color w:val="222222"/>
          <w:sz w:val="20"/>
          <w:szCs w:val="20"/>
        </w:rPr>
        <w:t xml:space="preserve"> JFF </w:t>
      </w:r>
      <w:proofErr w:type="spellStart"/>
      <w:r w:rsidRPr="00CF64F2">
        <w:rPr>
          <w:rFonts w:ascii="Arial" w:hAnsi="Arial" w:cs="Arial"/>
          <w:color w:val="222222"/>
          <w:sz w:val="20"/>
          <w:szCs w:val="20"/>
        </w:rPr>
        <w:t>Simoes</w:t>
      </w:r>
      <w:proofErr w:type="spellEnd"/>
      <w:r w:rsidRPr="00CF64F2">
        <w:rPr>
          <w:rFonts w:ascii="Arial" w:hAnsi="Arial" w:cs="Arial"/>
          <w:color w:val="222222"/>
          <w:sz w:val="20"/>
          <w:szCs w:val="20"/>
        </w:rPr>
        <w:t xml:space="preserve">, M </w:t>
      </w:r>
      <w:proofErr w:type="spellStart"/>
      <w:r w:rsidRPr="00CF64F2">
        <w:rPr>
          <w:rFonts w:ascii="Arial" w:hAnsi="Arial" w:cs="Arial"/>
          <w:color w:val="222222"/>
          <w:sz w:val="20"/>
          <w:szCs w:val="20"/>
        </w:rPr>
        <w:t>Steinruecke</w:t>
      </w:r>
      <w:proofErr w:type="spellEnd"/>
      <w:r w:rsidRPr="00CF64F2">
        <w:rPr>
          <w:rFonts w:ascii="Arial" w:hAnsi="Arial" w:cs="Arial"/>
          <w:color w:val="222222"/>
          <w:sz w:val="20"/>
          <w:szCs w:val="20"/>
        </w:rPr>
        <w:t xml:space="preserve">, </w:t>
      </w:r>
      <w:r w:rsidRPr="00CF64F2">
        <w:rPr>
          <w:rFonts w:ascii="Arial" w:hAnsi="Arial" w:cs="Arial"/>
          <w:color w:val="000000"/>
          <w:sz w:val="20"/>
          <w:szCs w:val="20"/>
        </w:rPr>
        <w:t xml:space="preserve">S </w:t>
      </w:r>
      <w:proofErr w:type="spellStart"/>
      <w:r w:rsidRPr="00CF64F2">
        <w:rPr>
          <w:rFonts w:ascii="Arial" w:hAnsi="Arial" w:cs="Arial"/>
          <w:color w:val="000000"/>
          <w:sz w:val="20"/>
          <w:szCs w:val="20"/>
        </w:rPr>
        <w:t>Tabiri</w:t>
      </w:r>
      <w:proofErr w:type="spellEnd"/>
      <w:r w:rsidRPr="00CF64F2">
        <w:rPr>
          <w:rFonts w:ascii="Arial" w:hAnsi="Arial" w:cs="Arial"/>
          <w:color w:val="000000"/>
          <w:sz w:val="20"/>
          <w:szCs w:val="20"/>
        </w:rPr>
        <w:t>,</w:t>
      </w:r>
      <w:r w:rsidRPr="00CF64F2">
        <w:rPr>
          <w:rFonts w:ascii="Arial" w:hAnsi="Arial" w:cs="Arial"/>
          <w:color w:val="222222"/>
          <w:sz w:val="20"/>
          <w:szCs w:val="20"/>
        </w:rPr>
        <w:t xml:space="preserve"> A </w:t>
      </w:r>
      <w:proofErr w:type="spellStart"/>
      <w:r w:rsidRPr="00CF64F2">
        <w:rPr>
          <w:rFonts w:ascii="Arial" w:hAnsi="Arial" w:cs="Arial"/>
          <w:color w:val="222222"/>
          <w:sz w:val="20"/>
          <w:szCs w:val="20"/>
        </w:rPr>
        <w:t>Bhangu</w:t>
      </w:r>
      <w:proofErr w:type="spellEnd"/>
    </w:p>
    <w:p w14:paraId="0DF0E52B" w14:textId="26FF21B6" w:rsidR="00DF18AF" w:rsidRPr="00CF64F2" w:rsidRDefault="00DF18AF" w:rsidP="000A50E8">
      <w:pPr>
        <w:spacing w:line="360" w:lineRule="auto"/>
        <w:rPr>
          <w:rFonts w:ascii="Arial" w:hAnsi="Arial" w:cs="Arial"/>
          <w:b/>
          <w:bCs/>
          <w:color w:val="222222"/>
          <w:sz w:val="20"/>
          <w:szCs w:val="20"/>
        </w:rPr>
      </w:pPr>
      <w:r>
        <w:rPr>
          <w:rFonts w:ascii="Arial" w:hAnsi="Arial" w:cs="Arial"/>
          <w:color w:val="222222"/>
          <w:sz w:val="20"/>
          <w:szCs w:val="20"/>
        </w:rPr>
        <w:t>(*joint first authors)</w:t>
      </w:r>
    </w:p>
    <w:p w14:paraId="10CFDF4F" w14:textId="77777777" w:rsidR="000A50E8" w:rsidRPr="00CF64F2" w:rsidRDefault="000A50E8" w:rsidP="000A50E8">
      <w:pPr>
        <w:spacing w:line="360" w:lineRule="auto"/>
        <w:rPr>
          <w:rFonts w:ascii="Arial" w:hAnsi="Arial" w:cs="Arial"/>
          <w:b/>
          <w:bCs/>
          <w:color w:val="222222"/>
          <w:sz w:val="20"/>
          <w:szCs w:val="20"/>
        </w:rPr>
      </w:pPr>
    </w:p>
    <w:p w14:paraId="7E169D0A" w14:textId="77777777" w:rsidR="00BB44D1" w:rsidRDefault="00BB44D1" w:rsidP="00BB44D1">
      <w:pPr>
        <w:spacing w:after="240" w:line="360" w:lineRule="auto"/>
        <w:rPr>
          <w:rFonts w:ascii="Arial" w:hAnsi="Arial" w:cs="Arial"/>
          <w:color w:val="000000"/>
          <w:sz w:val="20"/>
          <w:szCs w:val="20"/>
        </w:rPr>
        <w:sectPr w:rsidR="00BB44D1" w:rsidSect="00A30CFC">
          <w:pgSz w:w="11900" w:h="16840"/>
          <w:pgMar w:top="1440" w:right="1440" w:bottom="1440" w:left="1440" w:header="708" w:footer="708" w:gutter="0"/>
          <w:cols w:space="708"/>
          <w:docGrid w:linePitch="360"/>
        </w:sectPr>
      </w:pPr>
    </w:p>
    <w:p w14:paraId="08B2E9F7" w14:textId="609562D9" w:rsidR="00BB44D1" w:rsidRPr="00EA15EB" w:rsidRDefault="00EA15EB" w:rsidP="00BB44D1">
      <w:pPr>
        <w:pStyle w:val="NormalWeb"/>
        <w:spacing w:before="0" w:beforeAutospacing="0" w:after="0" w:afterAutospacing="0" w:line="360" w:lineRule="auto"/>
        <w:rPr>
          <w:rFonts w:ascii="Arial" w:hAnsi="Arial" w:cs="Arial"/>
          <w:b/>
          <w:bCs/>
          <w:color w:val="222222"/>
          <w:sz w:val="20"/>
          <w:szCs w:val="20"/>
        </w:rPr>
      </w:pPr>
      <w:r>
        <w:rPr>
          <w:rFonts w:ascii="Arial" w:hAnsi="Arial" w:cs="Arial"/>
          <w:b/>
          <w:bCs/>
          <w:color w:val="222222"/>
          <w:sz w:val="20"/>
          <w:szCs w:val="20"/>
        </w:rPr>
        <w:lastRenderedPageBreak/>
        <w:t>Appendix 2</w:t>
      </w:r>
      <w:r w:rsidR="00BB44D1" w:rsidRPr="00EA15EB">
        <w:rPr>
          <w:rFonts w:ascii="Arial" w:hAnsi="Arial" w:cs="Arial"/>
          <w:b/>
          <w:bCs/>
          <w:color w:val="222222"/>
          <w:sz w:val="20"/>
          <w:szCs w:val="20"/>
        </w:rPr>
        <w:t>: Case report form</w:t>
      </w:r>
    </w:p>
    <w:p w14:paraId="4F6B2528" w14:textId="613F014E" w:rsidR="00EA15EB" w:rsidRDefault="00EA15EB" w:rsidP="00BB44D1">
      <w:pPr>
        <w:pStyle w:val="NormalWeb"/>
        <w:spacing w:before="0" w:beforeAutospacing="0" w:after="0" w:afterAutospacing="0" w:line="360" w:lineRule="auto"/>
        <w:rPr>
          <w:rFonts w:ascii="Arial" w:hAnsi="Arial" w:cs="Arial"/>
          <w:color w:val="222222"/>
          <w:sz w:val="20"/>
          <w:szCs w:val="20"/>
        </w:rPr>
      </w:pPr>
      <w:r w:rsidRPr="00EA15EB">
        <w:rPr>
          <w:rFonts w:ascii="Arial" w:hAnsi="Arial" w:cs="Arial"/>
          <w:noProof/>
          <w:color w:val="222222"/>
          <w:sz w:val="20"/>
          <w:szCs w:val="20"/>
        </w:rPr>
        <w:drawing>
          <wp:inline distT="0" distB="0" distL="0" distR="0" wp14:anchorId="4921EFF1" wp14:editId="194623FE">
            <wp:extent cx="9779000" cy="5494655"/>
            <wp:effectExtent l="0" t="0" r="0" b="4445"/>
            <wp:docPr id="1325730688" name="Picture 1" descr="A close-up of a medic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0688" name="Picture 1" descr="A close-up of a medical form&#10;&#10;Description automatically generated"/>
                    <pic:cNvPicPr/>
                  </pic:nvPicPr>
                  <pic:blipFill>
                    <a:blip r:embed="rId7"/>
                    <a:stretch>
                      <a:fillRect/>
                    </a:stretch>
                  </pic:blipFill>
                  <pic:spPr>
                    <a:xfrm>
                      <a:off x="0" y="0"/>
                      <a:ext cx="9779000" cy="5494655"/>
                    </a:xfrm>
                    <a:prstGeom prst="rect">
                      <a:avLst/>
                    </a:prstGeom>
                  </pic:spPr>
                </pic:pic>
              </a:graphicData>
            </a:graphic>
          </wp:inline>
        </w:drawing>
      </w:r>
    </w:p>
    <w:p w14:paraId="1E27AF13" w14:textId="77777777" w:rsidR="00BB44D1" w:rsidRPr="00CF64F2" w:rsidRDefault="00BB44D1" w:rsidP="00BB44D1">
      <w:pPr>
        <w:pStyle w:val="NormalWeb"/>
        <w:spacing w:before="0" w:beforeAutospacing="0" w:after="0" w:afterAutospacing="0" w:line="360" w:lineRule="auto"/>
        <w:rPr>
          <w:rFonts w:ascii="Arial" w:hAnsi="Arial" w:cs="Arial"/>
          <w:color w:val="222222"/>
          <w:sz w:val="20"/>
          <w:szCs w:val="20"/>
        </w:rPr>
      </w:pPr>
    </w:p>
    <w:p w14:paraId="1D280AF4" w14:textId="77777777" w:rsidR="00BB44D1" w:rsidRPr="00CF64F2" w:rsidRDefault="00BB44D1" w:rsidP="00BB44D1">
      <w:pPr>
        <w:spacing w:line="360" w:lineRule="auto"/>
        <w:rPr>
          <w:rFonts w:ascii="Arial" w:hAnsi="Arial" w:cs="Arial"/>
          <w:b/>
          <w:bCs/>
          <w:color w:val="222222"/>
          <w:sz w:val="20"/>
          <w:szCs w:val="20"/>
        </w:rPr>
      </w:pPr>
    </w:p>
    <w:p w14:paraId="6DFAD158" w14:textId="77777777" w:rsidR="00BB44D1" w:rsidRDefault="00BB44D1">
      <w:r>
        <w:br w:type="page"/>
      </w:r>
    </w:p>
    <w:p w14:paraId="6496DE3F" w14:textId="61D99EC8" w:rsidR="00BB44D1" w:rsidRDefault="00EA15EB" w:rsidP="00BB44D1">
      <w:pPr>
        <w:spacing w:line="360" w:lineRule="auto"/>
      </w:pPr>
      <w:r w:rsidRPr="00EA15EB">
        <w:rPr>
          <w:noProof/>
        </w:rPr>
        <w:lastRenderedPageBreak/>
        <w:drawing>
          <wp:inline distT="0" distB="0" distL="0" distR="0" wp14:anchorId="74AD50D8" wp14:editId="23525C33">
            <wp:extent cx="9779000" cy="3136900"/>
            <wp:effectExtent l="0" t="0" r="0" b="0"/>
            <wp:docPr id="616464516"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64516" name="Picture 1" descr="A screenshot of a survey&#10;&#10;Description automatically generated"/>
                    <pic:cNvPicPr/>
                  </pic:nvPicPr>
                  <pic:blipFill>
                    <a:blip r:embed="rId8"/>
                    <a:stretch>
                      <a:fillRect/>
                    </a:stretch>
                  </pic:blipFill>
                  <pic:spPr>
                    <a:xfrm>
                      <a:off x="0" y="0"/>
                      <a:ext cx="9779000" cy="3136900"/>
                    </a:xfrm>
                    <a:prstGeom prst="rect">
                      <a:avLst/>
                    </a:prstGeom>
                  </pic:spPr>
                </pic:pic>
              </a:graphicData>
            </a:graphic>
          </wp:inline>
        </w:drawing>
      </w:r>
    </w:p>
    <w:p w14:paraId="0AD90483" w14:textId="77777777" w:rsidR="00BB44D1" w:rsidRDefault="00BB44D1" w:rsidP="00BB44D1">
      <w:pPr>
        <w:spacing w:line="360" w:lineRule="auto"/>
      </w:pPr>
    </w:p>
    <w:p w14:paraId="5CF417A4" w14:textId="77777777" w:rsidR="00EA15EB" w:rsidRDefault="00EA15EB" w:rsidP="00BB44D1"/>
    <w:p w14:paraId="5F426584" w14:textId="77777777" w:rsidR="00EA15EB" w:rsidRDefault="00EA15EB" w:rsidP="00BB44D1"/>
    <w:p w14:paraId="7B418906" w14:textId="77777777" w:rsidR="00EA15EB" w:rsidRDefault="00EA15EB" w:rsidP="00BB44D1"/>
    <w:p w14:paraId="5D6D1137" w14:textId="77777777" w:rsidR="00EA15EB" w:rsidRDefault="00EA15EB" w:rsidP="00BB44D1"/>
    <w:p w14:paraId="22C819F4" w14:textId="77777777" w:rsidR="00EA15EB" w:rsidRDefault="00EA15EB" w:rsidP="00BB44D1"/>
    <w:p w14:paraId="006859FE" w14:textId="77777777" w:rsidR="00EA15EB" w:rsidRDefault="00EA15EB" w:rsidP="00BB44D1"/>
    <w:p w14:paraId="46F8DD64" w14:textId="77777777" w:rsidR="00EA15EB" w:rsidRDefault="00EA15EB" w:rsidP="00BB44D1"/>
    <w:p w14:paraId="6D4EC89E" w14:textId="77777777" w:rsidR="00EA15EB" w:rsidRDefault="00EA15EB" w:rsidP="00BB44D1"/>
    <w:p w14:paraId="1D34CBDE" w14:textId="77777777" w:rsidR="00EA15EB" w:rsidRDefault="00EA15EB" w:rsidP="00BB44D1"/>
    <w:p w14:paraId="2D963064" w14:textId="77777777" w:rsidR="00EA15EB" w:rsidRDefault="00EA15EB" w:rsidP="00BB44D1"/>
    <w:p w14:paraId="12C2AC1F" w14:textId="77777777" w:rsidR="00EA15EB" w:rsidRDefault="00EA15EB" w:rsidP="00BB44D1"/>
    <w:p w14:paraId="4F54BA8D" w14:textId="77777777" w:rsidR="00EA15EB" w:rsidRDefault="00EA15EB" w:rsidP="00BB44D1"/>
    <w:p w14:paraId="1E47F313" w14:textId="77777777" w:rsidR="00EA15EB" w:rsidRDefault="00EA15EB" w:rsidP="00BB44D1"/>
    <w:p w14:paraId="7137445B" w14:textId="77777777" w:rsidR="00EA15EB" w:rsidRDefault="00EA15EB" w:rsidP="00BB44D1"/>
    <w:p w14:paraId="54B400EA" w14:textId="77777777" w:rsidR="00EA15EB" w:rsidRDefault="00EA15EB" w:rsidP="00BB44D1"/>
    <w:p w14:paraId="1893F7BD" w14:textId="77777777" w:rsidR="00EA15EB" w:rsidRDefault="00EA15EB" w:rsidP="00BB44D1">
      <w:pPr>
        <w:sectPr w:rsidR="00EA15EB" w:rsidSect="00A30CFC">
          <w:pgSz w:w="16840" w:h="11900" w:orient="landscape"/>
          <w:pgMar w:top="720" w:right="720" w:bottom="720" w:left="720" w:header="708" w:footer="708" w:gutter="0"/>
          <w:cols w:space="708"/>
          <w:docGrid w:linePitch="360"/>
        </w:sectPr>
      </w:pPr>
    </w:p>
    <w:p w14:paraId="24988638" w14:textId="095D2CEE" w:rsidR="00EA15EB" w:rsidRDefault="00EA15EB">
      <w:pPr>
        <w:rPr>
          <w:rFonts w:ascii="Arial" w:hAnsi="Arial" w:cs="Arial"/>
          <w:b/>
          <w:bCs/>
        </w:rPr>
      </w:pPr>
      <w:bookmarkStart w:id="1" w:name="_l9y02a9gbb0y" w:colFirst="0" w:colLast="0"/>
      <w:bookmarkEnd w:id="1"/>
      <w:r>
        <w:rPr>
          <w:rFonts w:ascii="Arial" w:hAnsi="Arial" w:cs="Arial"/>
          <w:b/>
          <w:bCs/>
        </w:rPr>
        <w:lastRenderedPageBreak/>
        <w:t>Appendix 3: Hospital-level survey</w:t>
      </w:r>
    </w:p>
    <w:p w14:paraId="7E4E241C" w14:textId="77777777" w:rsidR="00260879" w:rsidRDefault="00260879">
      <w:pPr>
        <w:rPr>
          <w:rFonts w:ascii="Arial" w:hAnsi="Arial" w:cs="Arial"/>
          <w:b/>
          <w:bCs/>
        </w:rPr>
      </w:pPr>
    </w:p>
    <w:tbl>
      <w:tblPr>
        <w:tblStyle w:val="TableGrid"/>
        <w:tblW w:w="10491" w:type="dxa"/>
        <w:tblInd w:w="-998" w:type="dxa"/>
        <w:tblLook w:val="04A0" w:firstRow="1" w:lastRow="0" w:firstColumn="1" w:lastColumn="0" w:noHBand="0" w:noVBand="1"/>
      </w:tblPr>
      <w:tblGrid>
        <w:gridCol w:w="2269"/>
        <w:gridCol w:w="8222"/>
      </w:tblGrid>
      <w:tr w:rsidR="00260879" w:rsidRPr="00260879" w14:paraId="2416BF3A" w14:textId="77777777" w:rsidTr="00260879">
        <w:tc>
          <w:tcPr>
            <w:tcW w:w="2269" w:type="dxa"/>
          </w:tcPr>
          <w:p w14:paraId="64E76EB8" w14:textId="76F06D63" w:rsidR="00260879" w:rsidRPr="00260879" w:rsidRDefault="00260879" w:rsidP="00260879">
            <w:pPr>
              <w:spacing w:line="276" w:lineRule="auto"/>
              <w:rPr>
                <w:rFonts w:ascii="Arial" w:hAnsi="Arial" w:cs="Arial"/>
                <w:b/>
                <w:bCs/>
                <w:sz w:val="22"/>
                <w:szCs w:val="22"/>
              </w:rPr>
            </w:pPr>
            <w:r w:rsidRPr="00260879">
              <w:rPr>
                <w:rFonts w:ascii="Arial" w:hAnsi="Arial" w:cs="Arial"/>
                <w:b/>
                <w:bCs/>
                <w:sz w:val="22"/>
                <w:szCs w:val="22"/>
              </w:rPr>
              <w:t>Variable</w:t>
            </w:r>
          </w:p>
        </w:tc>
        <w:tc>
          <w:tcPr>
            <w:tcW w:w="8222" w:type="dxa"/>
          </w:tcPr>
          <w:p w14:paraId="1D8F78B7" w14:textId="0D59D219" w:rsidR="00260879" w:rsidRPr="00260879" w:rsidRDefault="00260879" w:rsidP="00260879">
            <w:pPr>
              <w:spacing w:line="276" w:lineRule="auto"/>
              <w:rPr>
                <w:rFonts w:ascii="Arial" w:hAnsi="Arial" w:cs="Arial"/>
                <w:b/>
                <w:bCs/>
                <w:sz w:val="22"/>
                <w:szCs w:val="22"/>
              </w:rPr>
            </w:pPr>
            <w:r w:rsidRPr="00260879">
              <w:rPr>
                <w:rFonts w:ascii="Arial" w:hAnsi="Arial" w:cs="Arial"/>
                <w:b/>
                <w:bCs/>
                <w:sz w:val="22"/>
                <w:szCs w:val="22"/>
              </w:rPr>
              <w:t>Options</w:t>
            </w:r>
          </w:p>
        </w:tc>
      </w:tr>
      <w:tr w:rsidR="00260879" w:rsidRPr="00260879" w14:paraId="252F9F0E" w14:textId="77777777" w:rsidTr="00260879">
        <w:tc>
          <w:tcPr>
            <w:tcW w:w="2269" w:type="dxa"/>
          </w:tcPr>
          <w:p w14:paraId="17B2D722" w14:textId="070BE5E5" w:rsidR="00260879" w:rsidRPr="00260879" w:rsidRDefault="00260879" w:rsidP="00260879">
            <w:pPr>
              <w:spacing w:line="276" w:lineRule="auto"/>
              <w:rPr>
                <w:rFonts w:ascii="Arial" w:hAnsi="Arial" w:cs="Arial"/>
                <w:sz w:val="22"/>
                <w:szCs w:val="22"/>
              </w:rPr>
            </w:pPr>
            <w:r w:rsidRPr="00260879">
              <w:rPr>
                <w:rFonts w:ascii="Arial" w:hAnsi="Arial" w:cs="Arial"/>
                <w:sz w:val="22"/>
                <w:szCs w:val="22"/>
              </w:rPr>
              <w:t>Hospital type</w:t>
            </w:r>
          </w:p>
        </w:tc>
        <w:tc>
          <w:tcPr>
            <w:tcW w:w="8222" w:type="dxa"/>
            <w:tcBorders>
              <w:top w:val="single" w:sz="6" w:space="0" w:color="auto"/>
              <w:left w:val="single" w:sz="6" w:space="0" w:color="auto"/>
              <w:bottom w:val="single" w:sz="6" w:space="0" w:color="auto"/>
              <w:right w:val="single" w:sz="6" w:space="0" w:color="auto"/>
            </w:tcBorders>
          </w:tcPr>
          <w:p w14:paraId="31390CCA" w14:textId="77777777" w:rsidR="00260879" w:rsidRPr="00260879" w:rsidRDefault="00260879" w:rsidP="00260879">
            <w:pPr>
              <w:pStyle w:val="ListParagraph"/>
              <w:numPr>
                <w:ilvl w:val="0"/>
                <w:numId w:val="10"/>
              </w:numPr>
              <w:spacing w:line="276" w:lineRule="auto"/>
              <w:ind w:left="182" w:hanging="142"/>
              <w:rPr>
                <w:rFonts w:ascii="Arial" w:hAnsi="Arial" w:cs="Arial"/>
                <w:color w:val="000000"/>
                <w:sz w:val="22"/>
                <w:szCs w:val="22"/>
              </w:rPr>
            </w:pPr>
            <w:r w:rsidRPr="00260879">
              <w:rPr>
                <w:rFonts w:ascii="Arial" w:hAnsi="Arial" w:cs="Arial"/>
                <w:color w:val="000000"/>
                <w:sz w:val="22"/>
                <w:szCs w:val="22"/>
              </w:rPr>
              <w:t>Primary level - few specialties, mainly internal medicine, obstetrics &amp; gynaecology, paediatrics and general surgery, or just general practice. Limited laboratory services available and no specialised pathological analysis (i.e., 'district', 'rural', or 'community' hospital)</w:t>
            </w:r>
          </w:p>
          <w:p w14:paraId="2BE27DBE" w14:textId="6FF40D2F" w:rsidR="00260879" w:rsidRPr="00260879" w:rsidRDefault="00260879" w:rsidP="00260879">
            <w:pPr>
              <w:pStyle w:val="ListParagraph"/>
              <w:numPr>
                <w:ilvl w:val="0"/>
                <w:numId w:val="10"/>
              </w:numPr>
              <w:spacing w:line="276" w:lineRule="auto"/>
              <w:ind w:left="182" w:hanging="142"/>
              <w:rPr>
                <w:rFonts w:ascii="Arial" w:hAnsi="Arial" w:cs="Arial"/>
                <w:color w:val="000000"/>
                <w:sz w:val="22"/>
                <w:szCs w:val="22"/>
              </w:rPr>
            </w:pPr>
            <w:r w:rsidRPr="00260879">
              <w:rPr>
                <w:rFonts w:ascii="Arial" w:hAnsi="Arial" w:cs="Arial"/>
                <w:color w:val="000000"/>
                <w:sz w:val="22"/>
                <w:szCs w:val="22"/>
              </w:rPr>
              <w:t>Secondary level - more differentiated by function with as many as 5 to 10 clinical specialties, usually from 200 to 800 beds (i.e., 'regional', 'provincial' or 'general' hospital)</w:t>
            </w:r>
          </w:p>
          <w:p w14:paraId="42F3FCA2" w14:textId="161176F7" w:rsidR="00260879" w:rsidRPr="00260879" w:rsidRDefault="00260879" w:rsidP="00260879">
            <w:pPr>
              <w:pStyle w:val="ListParagraph"/>
              <w:numPr>
                <w:ilvl w:val="0"/>
                <w:numId w:val="10"/>
              </w:numPr>
              <w:spacing w:line="276" w:lineRule="auto"/>
              <w:ind w:left="182" w:hanging="142"/>
              <w:rPr>
                <w:rFonts w:ascii="Arial" w:hAnsi="Arial" w:cs="Arial"/>
                <w:b/>
                <w:bCs/>
                <w:color w:val="000000"/>
                <w:sz w:val="22"/>
                <w:szCs w:val="22"/>
              </w:rPr>
            </w:pPr>
            <w:r w:rsidRPr="00260879">
              <w:rPr>
                <w:rFonts w:ascii="Arial" w:hAnsi="Arial" w:cs="Arial"/>
                <w:color w:val="000000"/>
                <w:sz w:val="22"/>
                <w:szCs w:val="22"/>
                <w:shd w:val="clear" w:color="auto" w:fill="FFFFFF"/>
              </w:rPr>
              <w:t>Tertiary level - highly specialised staff and technical equipment, clinical services highly differentiated by function, may have teaching activities, usually from 300 to 1,500 beds (i.e., 'national', 'central', 'academic', 'teaching' or 'university' hospital)</w:t>
            </w:r>
          </w:p>
        </w:tc>
      </w:tr>
      <w:tr w:rsidR="00260879" w:rsidRPr="00260879" w14:paraId="18A7DE28" w14:textId="790CA243" w:rsidTr="00260879">
        <w:tc>
          <w:tcPr>
            <w:tcW w:w="2269" w:type="dxa"/>
          </w:tcPr>
          <w:p w14:paraId="2EF5AB83" w14:textId="40B7E67A" w:rsidR="00260879" w:rsidRPr="00260879" w:rsidRDefault="00260879" w:rsidP="00260879">
            <w:pPr>
              <w:spacing w:line="276" w:lineRule="auto"/>
              <w:rPr>
                <w:rFonts w:ascii="Arial" w:hAnsi="Arial" w:cs="Arial"/>
                <w:sz w:val="22"/>
                <w:szCs w:val="22"/>
              </w:rPr>
            </w:pPr>
            <w:r w:rsidRPr="00260879">
              <w:rPr>
                <w:rFonts w:ascii="Arial" w:hAnsi="Arial" w:cs="Arial"/>
                <w:sz w:val="22"/>
                <w:szCs w:val="22"/>
              </w:rPr>
              <w:t>Hospital ownership</w:t>
            </w:r>
          </w:p>
        </w:tc>
        <w:tc>
          <w:tcPr>
            <w:tcW w:w="8222" w:type="dxa"/>
            <w:tcBorders>
              <w:top w:val="single" w:sz="6" w:space="0" w:color="auto"/>
              <w:left w:val="single" w:sz="6" w:space="0" w:color="auto"/>
              <w:bottom w:val="single" w:sz="6" w:space="0" w:color="auto"/>
              <w:right w:val="single" w:sz="6" w:space="0" w:color="auto"/>
            </w:tcBorders>
          </w:tcPr>
          <w:p w14:paraId="6840FEEC" w14:textId="4A46E9E9" w:rsidR="00260879" w:rsidRPr="00260879" w:rsidRDefault="00260879" w:rsidP="00260879">
            <w:pPr>
              <w:pStyle w:val="ListParagraph"/>
              <w:numPr>
                <w:ilvl w:val="0"/>
                <w:numId w:val="11"/>
              </w:numPr>
              <w:spacing w:line="276" w:lineRule="auto"/>
              <w:ind w:left="182" w:hanging="142"/>
              <w:rPr>
                <w:rFonts w:ascii="Arial" w:hAnsi="Arial" w:cs="Arial"/>
                <w:sz w:val="22"/>
                <w:szCs w:val="22"/>
              </w:rPr>
            </w:pPr>
            <w:r w:rsidRPr="00260879">
              <w:rPr>
                <w:rFonts w:ascii="Arial" w:hAnsi="Arial" w:cs="Arial"/>
                <w:sz w:val="22"/>
                <w:szCs w:val="22"/>
              </w:rPr>
              <w:t xml:space="preserve">Government, publicly </w:t>
            </w:r>
            <w:proofErr w:type="gramStart"/>
            <w:r w:rsidRPr="00260879">
              <w:rPr>
                <w:rFonts w:ascii="Arial" w:hAnsi="Arial" w:cs="Arial"/>
                <w:sz w:val="22"/>
                <w:szCs w:val="22"/>
              </w:rPr>
              <w:t>owned</w:t>
            </w:r>
            <w:proofErr w:type="gramEnd"/>
          </w:p>
          <w:p w14:paraId="2080825F" w14:textId="684215B0" w:rsidR="00260879" w:rsidRPr="00260879" w:rsidRDefault="00260879" w:rsidP="00260879">
            <w:pPr>
              <w:pStyle w:val="ListParagraph"/>
              <w:numPr>
                <w:ilvl w:val="0"/>
                <w:numId w:val="11"/>
              </w:numPr>
              <w:spacing w:line="276" w:lineRule="auto"/>
              <w:ind w:left="182" w:hanging="142"/>
              <w:rPr>
                <w:rFonts w:ascii="Arial" w:hAnsi="Arial" w:cs="Arial"/>
                <w:sz w:val="22"/>
                <w:szCs w:val="22"/>
              </w:rPr>
            </w:pPr>
            <w:r w:rsidRPr="00260879">
              <w:rPr>
                <w:rFonts w:ascii="Arial" w:hAnsi="Arial" w:cs="Arial"/>
                <w:sz w:val="22"/>
                <w:szCs w:val="22"/>
              </w:rPr>
              <w:t>Private non-</w:t>
            </w:r>
            <w:proofErr w:type="gramStart"/>
            <w:r w:rsidRPr="00260879">
              <w:rPr>
                <w:rFonts w:ascii="Arial" w:hAnsi="Arial" w:cs="Arial"/>
                <w:sz w:val="22"/>
                <w:szCs w:val="22"/>
              </w:rPr>
              <w:t>for profit</w:t>
            </w:r>
            <w:proofErr w:type="gramEnd"/>
            <w:r w:rsidRPr="00260879">
              <w:rPr>
                <w:rFonts w:ascii="Arial" w:hAnsi="Arial" w:cs="Arial"/>
                <w:sz w:val="22"/>
                <w:szCs w:val="22"/>
              </w:rPr>
              <w:t xml:space="preserve"> organisation e.g., charity, NGO</w:t>
            </w:r>
          </w:p>
          <w:p w14:paraId="7D1639CB" w14:textId="05494E00" w:rsidR="00260879" w:rsidRPr="00260879" w:rsidRDefault="00260879" w:rsidP="00260879">
            <w:pPr>
              <w:pStyle w:val="ListParagraph"/>
              <w:numPr>
                <w:ilvl w:val="0"/>
                <w:numId w:val="11"/>
              </w:numPr>
              <w:spacing w:line="276" w:lineRule="auto"/>
              <w:ind w:left="182" w:hanging="142"/>
              <w:rPr>
                <w:rFonts w:ascii="Arial" w:hAnsi="Arial" w:cs="Arial"/>
                <w:sz w:val="22"/>
                <w:szCs w:val="22"/>
              </w:rPr>
            </w:pPr>
            <w:r w:rsidRPr="00260879">
              <w:rPr>
                <w:rFonts w:ascii="Arial" w:hAnsi="Arial" w:cs="Arial"/>
                <w:sz w:val="22"/>
                <w:szCs w:val="22"/>
              </w:rPr>
              <w:t>Private for-profit organisation</w:t>
            </w:r>
          </w:p>
          <w:p w14:paraId="21C188BF" w14:textId="47D9B032" w:rsidR="00260879" w:rsidRPr="00260879" w:rsidRDefault="00260879" w:rsidP="00260879">
            <w:pPr>
              <w:pStyle w:val="ListParagraph"/>
              <w:numPr>
                <w:ilvl w:val="0"/>
                <w:numId w:val="11"/>
              </w:numPr>
              <w:spacing w:line="276" w:lineRule="auto"/>
              <w:ind w:left="182" w:hanging="142"/>
              <w:rPr>
                <w:rFonts w:ascii="Arial" w:hAnsi="Arial" w:cs="Arial"/>
                <w:sz w:val="22"/>
                <w:szCs w:val="22"/>
              </w:rPr>
            </w:pPr>
            <w:r w:rsidRPr="00260879">
              <w:rPr>
                <w:rFonts w:ascii="Arial" w:hAnsi="Arial" w:cs="Arial"/>
                <w:sz w:val="22"/>
                <w:szCs w:val="22"/>
              </w:rPr>
              <w:t>Public-private partnership (partly funded by both)</w:t>
            </w:r>
          </w:p>
        </w:tc>
      </w:tr>
      <w:tr w:rsidR="00260879" w:rsidRPr="00260879" w14:paraId="4CFF196B" w14:textId="2017A952" w:rsidTr="00260879">
        <w:tc>
          <w:tcPr>
            <w:tcW w:w="2269" w:type="dxa"/>
          </w:tcPr>
          <w:p w14:paraId="7B02650B" w14:textId="03AE3A82" w:rsidR="00260879" w:rsidRPr="00260879" w:rsidRDefault="00260879" w:rsidP="00260879">
            <w:pPr>
              <w:spacing w:line="276" w:lineRule="auto"/>
              <w:rPr>
                <w:rFonts w:ascii="Arial" w:hAnsi="Arial" w:cs="Arial"/>
                <w:sz w:val="22"/>
                <w:szCs w:val="22"/>
              </w:rPr>
            </w:pPr>
            <w:r w:rsidRPr="00260879">
              <w:rPr>
                <w:rFonts w:ascii="Arial" w:hAnsi="Arial" w:cs="Arial"/>
                <w:sz w:val="22"/>
                <w:szCs w:val="22"/>
              </w:rPr>
              <w:t>Total hospital beds</w:t>
            </w:r>
          </w:p>
        </w:tc>
        <w:tc>
          <w:tcPr>
            <w:tcW w:w="8222" w:type="dxa"/>
            <w:tcBorders>
              <w:top w:val="single" w:sz="6" w:space="0" w:color="auto"/>
              <w:left w:val="single" w:sz="6" w:space="0" w:color="auto"/>
              <w:bottom w:val="single" w:sz="6" w:space="0" w:color="auto"/>
              <w:right w:val="single" w:sz="6" w:space="0" w:color="auto"/>
            </w:tcBorders>
          </w:tcPr>
          <w:p w14:paraId="25EB3FE6" w14:textId="640F8837" w:rsidR="00260879" w:rsidRPr="00260879" w:rsidRDefault="00260879" w:rsidP="00260879">
            <w:pPr>
              <w:spacing w:line="276" w:lineRule="auto"/>
              <w:rPr>
                <w:rFonts w:ascii="Arial" w:hAnsi="Arial" w:cs="Arial"/>
                <w:sz w:val="22"/>
                <w:szCs w:val="22"/>
              </w:rPr>
            </w:pPr>
            <w:r w:rsidRPr="00260879">
              <w:rPr>
                <w:rFonts w:ascii="Arial" w:hAnsi="Arial" w:cs="Arial"/>
                <w:sz w:val="22"/>
                <w:szCs w:val="22"/>
              </w:rPr>
              <w:t>(number)</w:t>
            </w:r>
          </w:p>
        </w:tc>
      </w:tr>
      <w:tr w:rsidR="00260879" w:rsidRPr="00260879" w14:paraId="000660A8" w14:textId="77777777" w:rsidTr="00260879">
        <w:tc>
          <w:tcPr>
            <w:tcW w:w="2269" w:type="dxa"/>
          </w:tcPr>
          <w:p w14:paraId="717F06EB" w14:textId="5EBE0036" w:rsidR="00260879" w:rsidRPr="00260879" w:rsidRDefault="00260879" w:rsidP="00260879">
            <w:pPr>
              <w:spacing w:line="276" w:lineRule="auto"/>
              <w:rPr>
                <w:rFonts w:ascii="Arial" w:hAnsi="Arial" w:cs="Arial"/>
                <w:sz w:val="22"/>
                <w:szCs w:val="22"/>
              </w:rPr>
            </w:pPr>
            <w:r w:rsidRPr="00260879">
              <w:rPr>
                <w:rFonts w:ascii="Arial" w:hAnsi="Arial" w:cs="Arial"/>
                <w:color w:val="000000"/>
                <w:sz w:val="22"/>
                <w:szCs w:val="22"/>
                <w:shd w:val="clear" w:color="auto" w:fill="FFFFFF"/>
              </w:rPr>
              <w:t>Waiting lists management</w:t>
            </w:r>
          </w:p>
        </w:tc>
        <w:tc>
          <w:tcPr>
            <w:tcW w:w="8222" w:type="dxa"/>
          </w:tcPr>
          <w:p w14:paraId="33C6FD15" w14:textId="317A6099"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 xml:space="preserve">Yes, there is an electronic </w:t>
            </w:r>
            <w:proofErr w:type="gramStart"/>
            <w:r w:rsidRPr="00260879">
              <w:rPr>
                <w:rFonts w:ascii="Arial" w:hAnsi="Arial" w:cs="Arial"/>
                <w:sz w:val="22"/>
                <w:szCs w:val="22"/>
              </w:rPr>
              <w:t>list</w:t>
            </w:r>
            <w:proofErr w:type="gramEnd"/>
          </w:p>
          <w:p w14:paraId="73E7EFA8" w14:textId="3ED89969"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 xml:space="preserve">Yes, there is a paper </w:t>
            </w:r>
            <w:proofErr w:type="gramStart"/>
            <w:r w:rsidRPr="00260879">
              <w:rPr>
                <w:rFonts w:ascii="Arial" w:hAnsi="Arial" w:cs="Arial"/>
                <w:sz w:val="22"/>
                <w:szCs w:val="22"/>
              </w:rPr>
              <w:t>list</w:t>
            </w:r>
            <w:proofErr w:type="gramEnd"/>
          </w:p>
          <w:p w14:paraId="3139588A" w14:textId="16822418"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No, there is no record of that</w:t>
            </w:r>
          </w:p>
        </w:tc>
      </w:tr>
      <w:tr w:rsidR="00260879" w:rsidRPr="00260879" w14:paraId="2DE85C5D" w14:textId="77777777" w:rsidTr="00260879">
        <w:tc>
          <w:tcPr>
            <w:tcW w:w="2269" w:type="dxa"/>
          </w:tcPr>
          <w:p w14:paraId="0FB6BB31" w14:textId="31E1B1B1" w:rsidR="00260879" w:rsidRPr="00260879" w:rsidRDefault="00260879" w:rsidP="00260879">
            <w:pPr>
              <w:spacing w:line="276" w:lineRule="auto"/>
              <w:rPr>
                <w:rFonts w:ascii="Arial" w:hAnsi="Arial" w:cs="Arial"/>
                <w:sz w:val="22"/>
                <w:szCs w:val="22"/>
              </w:rPr>
            </w:pPr>
            <w:r w:rsidRPr="00260879">
              <w:rPr>
                <w:rFonts w:ascii="Arial" w:hAnsi="Arial" w:cs="Arial"/>
                <w:sz w:val="22"/>
                <w:szCs w:val="22"/>
              </w:rPr>
              <w:t>Emergency surgery provision</w:t>
            </w:r>
          </w:p>
        </w:tc>
        <w:tc>
          <w:tcPr>
            <w:tcW w:w="8222" w:type="dxa"/>
          </w:tcPr>
          <w:p w14:paraId="51AD9346" w14:textId="3997B99D"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No</w:t>
            </w:r>
          </w:p>
          <w:p w14:paraId="0AF7C2D8" w14:textId="0CB89820"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Yes - but patients are admitted for assessment only. All patients needing emergency surgery are transferred to another hospital.</w:t>
            </w:r>
          </w:p>
          <w:p w14:paraId="5DFA86D9" w14:textId="20B0C02B"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Yes - patients are admitted for assessment and can have emergency surgery on-site if needed. Emergency surgery is only available during the daytime.</w:t>
            </w:r>
          </w:p>
          <w:p w14:paraId="7037F614" w14:textId="37C90278"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Yes - patients are admitted for assessment and can have emergency surgery on-site if needed. Emergency surgery is available 24 hours a day.</w:t>
            </w:r>
          </w:p>
        </w:tc>
      </w:tr>
      <w:tr w:rsidR="00260879" w:rsidRPr="00260879" w14:paraId="6123AA35" w14:textId="77777777" w:rsidTr="00260879">
        <w:tc>
          <w:tcPr>
            <w:tcW w:w="2269" w:type="dxa"/>
          </w:tcPr>
          <w:p w14:paraId="14C9135E" w14:textId="7CEB65AB" w:rsidR="00260879" w:rsidRPr="00260879" w:rsidRDefault="00260879" w:rsidP="00260879">
            <w:pPr>
              <w:spacing w:line="276" w:lineRule="auto"/>
              <w:rPr>
                <w:rFonts w:ascii="Arial" w:hAnsi="Arial" w:cs="Arial"/>
                <w:sz w:val="22"/>
                <w:szCs w:val="22"/>
              </w:rPr>
            </w:pPr>
            <w:r w:rsidRPr="00260879">
              <w:rPr>
                <w:rFonts w:ascii="Arial" w:hAnsi="Arial" w:cs="Arial"/>
                <w:sz w:val="22"/>
                <w:szCs w:val="22"/>
              </w:rPr>
              <w:t>Day-case surgery unit available</w:t>
            </w:r>
          </w:p>
        </w:tc>
        <w:tc>
          <w:tcPr>
            <w:tcW w:w="8222" w:type="dxa"/>
          </w:tcPr>
          <w:p w14:paraId="39EDB5F6" w14:textId="77777777"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Yes</w:t>
            </w:r>
          </w:p>
          <w:p w14:paraId="00F8BAD2" w14:textId="5F36E198"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No</w:t>
            </w:r>
          </w:p>
        </w:tc>
      </w:tr>
      <w:tr w:rsidR="00260879" w:rsidRPr="00260879" w14:paraId="72604BE6" w14:textId="77777777" w:rsidTr="00260879">
        <w:tc>
          <w:tcPr>
            <w:tcW w:w="2269" w:type="dxa"/>
          </w:tcPr>
          <w:p w14:paraId="659717B8" w14:textId="137FF415" w:rsidR="00260879" w:rsidRPr="00260879" w:rsidRDefault="00260879" w:rsidP="00260879">
            <w:pPr>
              <w:spacing w:line="276" w:lineRule="auto"/>
              <w:rPr>
                <w:rFonts w:ascii="Arial" w:hAnsi="Arial" w:cs="Arial"/>
                <w:sz w:val="22"/>
                <w:szCs w:val="22"/>
              </w:rPr>
            </w:pPr>
            <w:r w:rsidRPr="00260879">
              <w:rPr>
                <w:rFonts w:ascii="Arial" w:hAnsi="Arial" w:cs="Arial"/>
                <w:sz w:val="22"/>
                <w:szCs w:val="22"/>
              </w:rPr>
              <w:t>Payment of surgical costs</w:t>
            </w:r>
          </w:p>
        </w:tc>
        <w:tc>
          <w:tcPr>
            <w:tcW w:w="8222" w:type="dxa"/>
          </w:tcPr>
          <w:p w14:paraId="2DB18C95" w14:textId="1FAB6391"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Insurance provided by the government (national or regional level)</w:t>
            </w:r>
          </w:p>
          <w:p w14:paraId="0F6AF5D1" w14:textId="55795BE0"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Insurance provided by employer (or household members' employer)</w:t>
            </w:r>
          </w:p>
          <w:p w14:paraId="1565038F" w14:textId="2BC6745F"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Insurance that the patient has privately arranged and paid for</w:t>
            </w:r>
          </w:p>
          <w:p w14:paraId="5F463401" w14:textId="776B2BBD"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 xml:space="preserve">Insurance but unknown how this was </w:t>
            </w:r>
            <w:proofErr w:type="gramStart"/>
            <w:r w:rsidRPr="00260879">
              <w:rPr>
                <w:rFonts w:ascii="Arial" w:hAnsi="Arial" w:cs="Arial"/>
                <w:sz w:val="22"/>
                <w:szCs w:val="22"/>
              </w:rPr>
              <w:t>arranged</w:t>
            </w:r>
            <w:proofErr w:type="gramEnd"/>
          </w:p>
          <w:p w14:paraId="2345E6E7" w14:textId="6579D995"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External funds or grants awarded by charities/</w:t>
            </w:r>
            <w:proofErr w:type="gramStart"/>
            <w:r w:rsidRPr="00260879">
              <w:rPr>
                <w:rFonts w:ascii="Arial" w:hAnsi="Arial" w:cs="Arial"/>
                <w:sz w:val="22"/>
                <w:szCs w:val="22"/>
              </w:rPr>
              <w:t>NGOs</w:t>
            </w:r>
            <w:proofErr w:type="gramEnd"/>
          </w:p>
          <w:p w14:paraId="4BB7EBE8" w14:textId="0E9D26F0"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Out of pocket payments (patient paid the hospital directly)</w:t>
            </w:r>
          </w:p>
          <w:p w14:paraId="7075CDAD" w14:textId="3DEB77B1" w:rsidR="00260879" w:rsidRPr="00260879" w:rsidRDefault="00260879" w:rsidP="00260879">
            <w:pPr>
              <w:pStyle w:val="ListParagraph"/>
              <w:numPr>
                <w:ilvl w:val="0"/>
                <w:numId w:val="12"/>
              </w:numPr>
              <w:tabs>
                <w:tab w:val="left" w:pos="891"/>
              </w:tabs>
              <w:spacing w:line="276" w:lineRule="auto"/>
              <w:ind w:left="182" w:hanging="142"/>
              <w:rPr>
                <w:rFonts w:ascii="Arial" w:hAnsi="Arial" w:cs="Arial"/>
                <w:sz w:val="22"/>
                <w:szCs w:val="22"/>
              </w:rPr>
            </w:pPr>
            <w:r w:rsidRPr="00260879">
              <w:rPr>
                <w:rFonts w:ascii="Arial" w:hAnsi="Arial" w:cs="Arial"/>
                <w:sz w:val="22"/>
                <w:szCs w:val="22"/>
              </w:rPr>
              <w:t>Other</w:t>
            </w:r>
          </w:p>
        </w:tc>
      </w:tr>
    </w:tbl>
    <w:p w14:paraId="3735D14B" w14:textId="77777777" w:rsidR="00260879" w:rsidRDefault="00260879">
      <w:pPr>
        <w:rPr>
          <w:rFonts w:ascii="Arial" w:hAnsi="Arial" w:cs="Arial"/>
          <w:b/>
          <w:bCs/>
        </w:rPr>
      </w:pPr>
    </w:p>
    <w:p w14:paraId="4BE4AEA8" w14:textId="77777777" w:rsidR="00EA15EB" w:rsidRDefault="00EA15EB">
      <w:pPr>
        <w:rPr>
          <w:rFonts w:ascii="Arial" w:hAnsi="Arial" w:cs="Arial"/>
          <w:b/>
          <w:bCs/>
        </w:rPr>
      </w:pPr>
    </w:p>
    <w:p w14:paraId="22B82C67" w14:textId="77777777" w:rsidR="00EA15EB" w:rsidRDefault="00EA15EB">
      <w:pPr>
        <w:rPr>
          <w:rFonts w:ascii="Arial" w:hAnsi="Arial" w:cs="Arial"/>
          <w:b/>
          <w:bCs/>
        </w:rPr>
      </w:pPr>
    </w:p>
    <w:p w14:paraId="3355C8AA" w14:textId="77777777" w:rsidR="00EA15EB" w:rsidRDefault="00EA15EB">
      <w:pPr>
        <w:rPr>
          <w:rFonts w:ascii="Arial" w:hAnsi="Arial" w:cs="Arial"/>
          <w:b/>
          <w:bCs/>
        </w:rPr>
      </w:pPr>
    </w:p>
    <w:p w14:paraId="7F05C08F" w14:textId="77777777" w:rsidR="00EA15EB" w:rsidRDefault="00EA15EB">
      <w:pPr>
        <w:rPr>
          <w:rFonts w:ascii="Arial" w:hAnsi="Arial" w:cs="Arial"/>
          <w:b/>
          <w:bCs/>
        </w:rPr>
      </w:pPr>
      <w:r>
        <w:rPr>
          <w:rFonts w:ascii="Arial" w:hAnsi="Arial" w:cs="Arial"/>
          <w:b/>
          <w:bCs/>
        </w:rPr>
        <w:br w:type="page"/>
      </w:r>
    </w:p>
    <w:p w14:paraId="71EB8E23" w14:textId="0B0E6BC6" w:rsidR="00EA15EB" w:rsidRDefault="00EA15EB" w:rsidP="00EA15EB">
      <w:pPr>
        <w:rPr>
          <w:rFonts w:ascii="Arial" w:hAnsi="Arial" w:cs="Arial"/>
          <w:b/>
          <w:bCs/>
        </w:rPr>
      </w:pPr>
      <w:r w:rsidRPr="00EA15EB">
        <w:rPr>
          <w:rFonts w:ascii="Arial" w:hAnsi="Arial" w:cs="Arial"/>
          <w:b/>
          <w:bCs/>
        </w:rPr>
        <w:lastRenderedPageBreak/>
        <w:t xml:space="preserve">Appendix </w:t>
      </w:r>
      <w:r w:rsidR="00260879">
        <w:rPr>
          <w:rFonts w:ascii="Arial" w:hAnsi="Arial" w:cs="Arial"/>
          <w:b/>
          <w:bCs/>
        </w:rPr>
        <w:t>4</w:t>
      </w:r>
      <w:r w:rsidRPr="00EA15EB">
        <w:rPr>
          <w:rFonts w:ascii="Arial" w:hAnsi="Arial" w:cs="Arial"/>
          <w:b/>
          <w:bCs/>
        </w:rPr>
        <w:t>: Definitions</w:t>
      </w:r>
    </w:p>
    <w:p w14:paraId="7B910BAF" w14:textId="77777777" w:rsidR="00EA15EB" w:rsidRPr="00EA15EB" w:rsidRDefault="00EA15EB" w:rsidP="00EA15EB">
      <w:pPr>
        <w:rPr>
          <w:rFonts w:ascii="Arial" w:hAnsi="Arial" w:cs="Arial"/>
          <w:b/>
          <w:bCs/>
        </w:rPr>
      </w:pPr>
    </w:p>
    <w:p w14:paraId="74B8B645" w14:textId="2FA97445" w:rsidR="00EA15EB" w:rsidRPr="00EA15EB" w:rsidRDefault="00EA15EB" w:rsidP="00EA15EB">
      <w:pPr>
        <w:pBdr>
          <w:top w:val="nil"/>
          <w:left w:val="nil"/>
          <w:bottom w:val="nil"/>
          <w:right w:val="nil"/>
          <w:between w:val="nil"/>
        </w:pBdr>
        <w:spacing w:after="120" w:line="360" w:lineRule="auto"/>
        <w:rPr>
          <w:rFonts w:ascii="Arial" w:hAnsi="Arial" w:cs="Arial"/>
          <w:b/>
          <w:color w:val="000000" w:themeColor="text1"/>
          <w:sz w:val="22"/>
          <w:szCs w:val="22"/>
        </w:rPr>
      </w:pPr>
      <w:r w:rsidRPr="00EA15EB">
        <w:rPr>
          <w:rFonts w:ascii="Arial" w:hAnsi="Arial" w:cs="Arial"/>
          <w:b/>
          <w:color w:val="000000" w:themeColor="text1"/>
          <w:sz w:val="22"/>
          <w:szCs w:val="22"/>
        </w:rPr>
        <w:t>Surgical site infection</w:t>
      </w:r>
    </w:p>
    <w:p w14:paraId="6D3561EF" w14:textId="77777777" w:rsidR="00EA15EB" w:rsidRPr="00EA15EB" w:rsidRDefault="00EA15EB" w:rsidP="00EA15EB">
      <w:pPr>
        <w:spacing w:after="120" w:line="360" w:lineRule="auto"/>
        <w:rPr>
          <w:rFonts w:ascii="Arial" w:hAnsi="Arial" w:cs="Arial"/>
          <w:sz w:val="22"/>
          <w:szCs w:val="22"/>
        </w:rPr>
      </w:pPr>
      <w:r w:rsidRPr="00EA15EB">
        <w:rPr>
          <w:rFonts w:ascii="Arial" w:hAnsi="Arial" w:cs="Arial"/>
          <w:sz w:val="22"/>
          <w:szCs w:val="22"/>
        </w:rPr>
        <w:t xml:space="preserve">Surgical site infection is defined at 30 days post-surgery using the </w:t>
      </w:r>
      <w:proofErr w:type="spellStart"/>
      <w:r w:rsidRPr="00EA15EB">
        <w:rPr>
          <w:rFonts w:ascii="Arial" w:hAnsi="Arial" w:cs="Arial"/>
          <w:sz w:val="22"/>
          <w:szCs w:val="22"/>
        </w:rPr>
        <w:t>Centers</w:t>
      </w:r>
      <w:proofErr w:type="spellEnd"/>
      <w:r w:rsidRPr="00EA15EB">
        <w:rPr>
          <w:rFonts w:ascii="Arial" w:hAnsi="Arial" w:cs="Arial"/>
          <w:sz w:val="22"/>
          <w:szCs w:val="22"/>
        </w:rPr>
        <w:t xml:space="preserve"> for Disease Control (CDC) definition of deep incisional or superficial incisional SSI as </w:t>
      </w:r>
      <w:proofErr w:type="gramStart"/>
      <w:r w:rsidRPr="00EA15EB">
        <w:rPr>
          <w:rFonts w:ascii="Arial" w:hAnsi="Arial" w:cs="Arial"/>
          <w:sz w:val="22"/>
          <w:szCs w:val="22"/>
        </w:rPr>
        <w:t>follows</w:t>
      </w:r>
      <w:proofErr w:type="gramEnd"/>
    </w:p>
    <w:p w14:paraId="33FB0B2E" w14:textId="77777777" w:rsidR="00EA15EB" w:rsidRPr="00EA15EB" w:rsidRDefault="00EA15EB" w:rsidP="00EA15EB">
      <w:pPr>
        <w:numPr>
          <w:ilvl w:val="0"/>
          <w:numId w:val="9"/>
        </w:numPr>
        <w:pBdr>
          <w:top w:val="nil"/>
          <w:left w:val="nil"/>
          <w:bottom w:val="nil"/>
          <w:right w:val="nil"/>
          <w:between w:val="nil"/>
        </w:pBdr>
        <w:spacing w:after="120" w:line="360" w:lineRule="auto"/>
        <w:rPr>
          <w:rFonts w:ascii="Arial" w:hAnsi="Arial" w:cs="Arial"/>
          <w:sz w:val="22"/>
          <w:szCs w:val="22"/>
        </w:rPr>
      </w:pPr>
      <w:r w:rsidRPr="00EA15EB">
        <w:rPr>
          <w:rFonts w:ascii="Arial" w:hAnsi="Arial" w:cs="Arial"/>
          <w:color w:val="000000"/>
          <w:sz w:val="22"/>
          <w:szCs w:val="22"/>
        </w:rPr>
        <w:t xml:space="preserve">The infection must occur within 30 days of the index </w:t>
      </w:r>
      <w:proofErr w:type="gramStart"/>
      <w:r w:rsidRPr="00EA15EB">
        <w:rPr>
          <w:rFonts w:ascii="Arial" w:hAnsi="Arial" w:cs="Arial"/>
          <w:color w:val="000000"/>
          <w:sz w:val="22"/>
          <w:szCs w:val="22"/>
        </w:rPr>
        <w:t>operation</w:t>
      </w:r>
      <w:proofErr w:type="gramEnd"/>
    </w:p>
    <w:p w14:paraId="40E8B934" w14:textId="77777777" w:rsidR="00EA15EB" w:rsidRPr="00EA15EB" w:rsidRDefault="00EA15EB" w:rsidP="00EA15EB">
      <w:pPr>
        <w:numPr>
          <w:ilvl w:val="0"/>
          <w:numId w:val="9"/>
        </w:numPr>
        <w:pBdr>
          <w:top w:val="nil"/>
          <w:left w:val="nil"/>
          <w:bottom w:val="nil"/>
          <w:right w:val="nil"/>
          <w:between w:val="nil"/>
        </w:pBdr>
        <w:spacing w:after="120" w:line="360" w:lineRule="auto"/>
        <w:rPr>
          <w:rFonts w:ascii="Arial" w:hAnsi="Arial" w:cs="Arial"/>
          <w:sz w:val="22"/>
          <w:szCs w:val="22"/>
        </w:rPr>
      </w:pPr>
      <w:r w:rsidRPr="00EA15EB">
        <w:rPr>
          <w:rFonts w:ascii="Arial" w:hAnsi="Arial" w:cs="Arial"/>
          <w:color w:val="000000"/>
          <w:sz w:val="22"/>
          <w:szCs w:val="22"/>
        </w:rPr>
        <w:t xml:space="preserve">The infection must involve the skin, subcutaneous, muscular, or fascial layers of the </w:t>
      </w:r>
      <w:proofErr w:type="gramStart"/>
      <w:r w:rsidRPr="00EA15EB">
        <w:rPr>
          <w:rFonts w:ascii="Arial" w:hAnsi="Arial" w:cs="Arial"/>
          <w:color w:val="000000"/>
          <w:sz w:val="22"/>
          <w:szCs w:val="22"/>
        </w:rPr>
        <w:t>incision</w:t>
      </w:r>
      <w:proofErr w:type="gramEnd"/>
    </w:p>
    <w:p w14:paraId="3B15E365" w14:textId="77777777" w:rsidR="00EA15EB" w:rsidRPr="00EA15EB" w:rsidRDefault="00EA15EB" w:rsidP="00EA15EB">
      <w:pPr>
        <w:numPr>
          <w:ilvl w:val="0"/>
          <w:numId w:val="9"/>
        </w:numPr>
        <w:pBdr>
          <w:top w:val="nil"/>
          <w:left w:val="nil"/>
          <w:bottom w:val="nil"/>
          <w:right w:val="nil"/>
          <w:between w:val="nil"/>
        </w:pBdr>
        <w:spacing w:after="120" w:line="360" w:lineRule="auto"/>
        <w:rPr>
          <w:rFonts w:ascii="Arial" w:hAnsi="Arial" w:cs="Arial"/>
          <w:sz w:val="22"/>
          <w:szCs w:val="22"/>
        </w:rPr>
      </w:pPr>
      <w:r w:rsidRPr="00EA15EB">
        <w:rPr>
          <w:rFonts w:ascii="Arial" w:hAnsi="Arial" w:cs="Arial"/>
          <w:color w:val="000000"/>
          <w:sz w:val="22"/>
          <w:szCs w:val="22"/>
        </w:rPr>
        <w:t xml:space="preserve">The patient must have at least one of the following: purulent drainage </w:t>
      </w:r>
      <w:proofErr w:type="gramStart"/>
      <w:r w:rsidRPr="00EA15EB">
        <w:rPr>
          <w:rFonts w:ascii="Arial" w:hAnsi="Arial" w:cs="Arial"/>
          <w:color w:val="000000"/>
          <w:sz w:val="22"/>
          <w:szCs w:val="22"/>
        </w:rPr>
        <w:t>from  the</w:t>
      </w:r>
      <w:proofErr w:type="gramEnd"/>
      <w:r w:rsidRPr="00EA15EB">
        <w:rPr>
          <w:rFonts w:ascii="Arial" w:hAnsi="Arial" w:cs="Arial"/>
          <w:color w:val="000000"/>
          <w:sz w:val="22"/>
          <w:szCs w:val="22"/>
        </w:rPr>
        <w:t xml:space="preserve">  wound;  organisms detected by wound swab; diagnosed clinically or at imaging; wound opened spontaneously or by a clinician</w:t>
      </w:r>
    </w:p>
    <w:p w14:paraId="51C17BEC" w14:textId="77777777" w:rsidR="00EA15EB" w:rsidRPr="00EA15EB" w:rsidRDefault="00EA15EB" w:rsidP="00EA15EB">
      <w:pPr>
        <w:numPr>
          <w:ilvl w:val="0"/>
          <w:numId w:val="9"/>
        </w:numPr>
        <w:pBdr>
          <w:top w:val="nil"/>
          <w:left w:val="nil"/>
          <w:bottom w:val="nil"/>
          <w:right w:val="nil"/>
          <w:between w:val="nil"/>
        </w:pBdr>
        <w:spacing w:after="120" w:line="360" w:lineRule="auto"/>
        <w:rPr>
          <w:rFonts w:ascii="Arial" w:hAnsi="Arial" w:cs="Arial"/>
          <w:sz w:val="22"/>
          <w:szCs w:val="22"/>
        </w:rPr>
      </w:pPr>
      <w:r w:rsidRPr="00EA15EB">
        <w:rPr>
          <w:rFonts w:ascii="Arial" w:hAnsi="Arial" w:cs="Arial"/>
          <w:color w:val="000000"/>
          <w:sz w:val="22"/>
          <w:szCs w:val="22"/>
        </w:rPr>
        <w:t>The patient has at least one of the following: pain, tenderness, localized swelling, redness, heat at the wound site, systemic fever (&gt;38°C).</w:t>
      </w:r>
    </w:p>
    <w:p w14:paraId="06BBEB99" w14:textId="77777777" w:rsidR="00EA15EB" w:rsidRPr="00EA15EB" w:rsidRDefault="00EA15EB" w:rsidP="00EA15EB">
      <w:pPr>
        <w:rPr>
          <w:rFonts w:ascii="Arial" w:hAnsi="Arial" w:cs="Arial"/>
          <w:sz w:val="22"/>
          <w:szCs w:val="22"/>
        </w:rPr>
      </w:pPr>
      <w:r w:rsidRPr="00EA15EB">
        <w:rPr>
          <w:rFonts w:ascii="Arial" w:hAnsi="Arial" w:cs="Arial"/>
          <w:sz w:val="22"/>
          <w:szCs w:val="22"/>
        </w:rPr>
        <w:br w:type="page"/>
      </w:r>
    </w:p>
    <w:p w14:paraId="7249FE68" w14:textId="2A785BD5" w:rsidR="00EA15EB" w:rsidRPr="00EA15EB" w:rsidRDefault="00EA15EB" w:rsidP="00EA15EB">
      <w:pPr>
        <w:pBdr>
          <w:top w:val="nil"/>
          <w:left w:val="nil"/>
          <w:bottom w:val="nil"/>
          <w:right w:val="nil"/>
          <w:between w:val="nil"/>
        </w:pBdr>
        <w:spacing w:after="120" w:line="360" w:lineRule="auto"/>
        <w:rPr>
          <w:rFonts w:ascii="Arial" w:hAnsi="Arial" w:cs="Arial"/>
          <w:b/>
          <w:color w:val="000000" w:themeColor="text1"/>
          <w:sz w:val="22"/>
          <w:szCs w:val="22"/>
        </w:rPr>
      </w:pPr>
      <w:r w:rsidRPr="00EA15EB">
        <w:rPr>
          <w:rFonts w:ascii="Arial" w:hAnsi="Arial" w:cs="Arial"/>
          <w:b/>
          <w:color w:val="000000" w:themeColor="text1"/>
          <w:sz w:val="22"/>
          <w:szCs w:val="22"/>
        </w:rPr>
        <w:lastRenderedPageBreak/>
        <w:t xml:space="preserve">Clavien-Dindo </w:t>
      </w:r>
      <w:r>
        <w:rPr>
          <w:rFonts w:ascii="Arial" w:hAnsi="Arial" w:cs="Arial"/>
          <w:b/>
          <w:color w:val="000000" w:themeColor="text1"/>
          <w:sz w:val="22"/>
          <w:szCs w:val="22"/>
        </w:rPr>
        <w:t>c</w:t>
      </w:r>
      <w:r w:rsidRPr="00EA15EB">
        <w:rPr>
          <w:rFonts w:ascii="Arial" w:hAnsi="Arial" w:cs="Arial"/>
          <w:b/>
          <w:color w:val="000000" w:themeColor="text1"/>
          <w:sz w:val="22"/>
          <w:szCs w:val="22"/>
        </w:rPr>
        <w:t>omplications</w:t>
      </w:r>
    </w:p>
    <w:p w14:paraId="1BB1D3F8" w14:textId="77777777" w:rsidR="00EA15EB" w:rsidRPr="00EA15EB" w:rsidRDefault="00EA15EB" w:rsidP="00EA15EB">
      <w:pPr>
        <w:widowControl w:val="0"/>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color w:val="000000"/>
          <w:sz w:val="22"/>
          <w:szCs w:val="22"/>
        </w:rPr>
        <w:t>Adverse post-operative events may be classified in different ways:</w:t>
      </w:r>
    </w:p>
    <w:p w14:paraId="101D920F" w14:textId="1CA26318" w:rsidR="00EA15EB" w:rsidRPr="00EA15EB" w:rsidRDefault="00EA15EB" w:rsidP="00EA15EB">
      <w:pPr>
        <w:widowControl w:val="0"/>
        <w:numPr>
          <w:ilvl w:val="0"/>
          <w:numId w:val="7"/>
        </w:numPr>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b/>
          <w:color w:val="000000"/>
          <w:sz w:val="22"/>
          <w:szCs w:val="22"/>
        </w:rPr>
        <w:t>Failure of treatment</w:t>
      </w:r>
      <w:r w:rsidRPr="00EA15EB">
        <w:rPr>
          <w:rFonts w:ascii="Arial" w:hAnsi="Arial" w:cs="Arial"/>
          <w:color w:val="000000"/>
          <w:sz w:val="22"/>
          <w:szCs w:val="22"/>
        </w:rPr>
        <w:t xml:space="preserve"> - This occurs when the original surgery fails to achieve its intended </w:t>
      </w:r>
      <w:proofErr w:type="gramStart"/>
      <w:r w:rsidRPr="00EA15EB">
        <w:rPr>
          <w:rFonts w:ascii="Arial" w:hAnsi="Arial" w:cs="Arial"/>
          <w:color w:val="000000"/>
          <w:sz w:val="22"/>
          <w:szCs w:val="22"/>
        </w:rPr>
        <w:t>benefits;</w:t>
      </w:r>
      <w:proofErr w:type="gramEnd"/>
    </w:p>
    <w:p w14:paraId="59790F6E" w14:textId="77777777" w:rsidR="00EA15EB" w:rsidRPr="00EA15EB" w:rsidRDefault="00EA15EB" w:rsidP="00EA15EB">
      <w:pPr>
        <w:widowControl w:val="0"/>
        <w:numPr>
          <w:ilvl w:val="0"/>
          <w:numId w:val="7"/>
        </w:numPr>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b/>
          <w:color w:val="000000"/>
          <w:sz w:val="22"/>
          <w:szCs w:val="22"/>
        </w:rPr>
        <w:t>Sequelae</w:t>
      </w:r>
      <w:r w:rsidRPr="00EA15EB">
        <w:rPr>
          <w:rFonts w:ascii="Arial" w:hAnsi="Arial" w:cs="Arial"/>
          <w:color w:val="000000"/>
          <w:sz w:val="22"/>
          <w:szCs w:val="22"/>
        </w:rPr>
        <w:t xml:space="preserve">: The recognised consequences of a given procedure; for example, gut malabsorption following a </w:t>
      </w:r>
      <w:proofErr w:type="gramStart"/>
      <w:r w:rsidRPr="00EA15EB">
        <w:rPr>
          <w:rFonts w:ascii="Arial" w:hAnsi="Arial" w:cs="Arial"/>
          <w:color w:val="000000"/>
          <w:sz w:val="22"/>
          <w:szCs w:val="22"/>
        </w:rPr>
        <w:t>large small</w:t>
      </w:r>
      <w:proofErr w:type="gramEnd"/>
      <w:r w:rsidRPr="00EA15EB">
        <w:rPr>
          <w:rFonts w:ascii="Arial" w:hAnsi="Arial" w:cs="Arial"/>
          <w:color w:val="000000"/>
          <w:sz w:val="22"/>
          <w:szCs w:val="22"/>
        </w:rPr>
        <w:t xml:space="preserve"> bowel resection or immune deficiency following splenectomy.</w:t>
      </w:r>
    </w:p>
    <w:p w14:paraId="1451E1D4" w14:textId="77777777" w:rsidR="00EA15EB" w:rsidRPr="00EA15EB" w:rsidRDefault="00EA15EB" w:rsidP="00EA15EB">
      <w:pPr>
        <w:widowControl w:val="0"/>
        <w:numPr>
          <w:ilvl w:val="0"/>
          <w:numId w:val="7"/>
        </w:numPr>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b/>
          <w:color w:val="000000"/>
          <w:sz w:val="22"/>
          <w:szCs w:val="22"/>
        </w:rPr>
        <w:t>Complication</w:t>
      </w:r>
      <w:r w:rsidRPr="00EA15EB">
        <w:rPr>
          <w:rFonts w:ascii="Arial" w:hAnsi="Arial" w:cs="Arial"/>
          <w:color w:val="000000"/>
          <w:sz w:val="22"/>
          <w:szCs w:val="22"/>
        </w:rPr>
        <w:t>: Any deviation from the normal post-operative course that has an adverse effect on the patient and is not either a treatment failure or sequel.</w:t>
      </w:r>
    </w:p>
    <w:p w14:paraId="245146F4" w14:textId="77777777" w:rsidR="00EA15EB" w:rsidRPr="00EA15EB" w:rsidRDefault="00EA15EB" w:rsidP="00EA15EB">
      <w:pPr>
        <w:widowControl w:val="0"/>
        <w:pBdr>
          <w:top w:val="nil"/>
          <w:left w:val="nil"/>
          <w:bottom w:val="nil"/>
          <w:right w:val="nil"/>
          <w:between w:val="nil"/>
        </w:pBdr>
        <w:spacing w:after="120" w:line="360" w:lineRule="auto"/>
        <w:rPr>
          <w:rFonts w:ascii="Arial" w:hAnsi="Arial" w:cs="Arial"/>
          <w:color w:val="000000"/>
          <w:sz w:val="22"/>
          <w:szCs w:val="22"/>
        </w:rPr>
      </w:pPr>
    </w:p>
    <w:p w14:paraId="5D1BB650" w14:textId="77777777" w:rsidR="00EA15EB" w:rsidRPr="00EA15EB" w:rsidRDefault="00EA15EB" w:rsidP="00EA15EB">
      <w:pPr>
        <w:widowControl w:val="0"/>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color w:val="000000"/>
          <w:sz w:val="22"/>
          <w:szCs w:val="22"/>
        </w:rPr>
        <w:t xml:space="preserve">In the Clavien-Dindo classification </w:t>
      </w:r>
      <w:r w:rsidRPr="00EA15EB">
        <w:rPr>
          <w:rFonts w:ascii="Arial" w:hAnsi="Arial" w:cs="Arial"/>
          <w:color w:val="000000"/>
          <w:sz w:val="22"/>
          <w:szCs w:val="22"/>
          <w:vertAlign w:val="superscript"/>
        </w:rPr>
        <w:t>35</w:t>
      </w:r>
      <w:r w:rsidRPr="00EA15EB">
        <w:rPr>
          <w:rFonts w:ascii="Arial" w:hAnsi="Arial" w:cs="Arial"/>
          <w:color w:val="000000"/>
          <w:sz w:val="22"/>
          <w:szCs w:val="22"/>
        </w:rPr>
        <w:t xml:space="preserve">, the factor determining the severity of a complication is the treatment required. Consequently, a given complication may be graded differently depending on how it has been managed. For example, an anastomotic leak may be managed just with antibiotics if it is contained (grade II) or it may require re-operation under anaesthetic (grade </w:t>
      </w:r>
      <w:proofErr w:type="spellStart"/>
      <w:r w:rsidRPr="00EA15EB">
        <w:rPr>
          <w:rFonts w:ascii="Arial" w:hAnsi="Arial" w:cs="Arial"/>
          <w:color w:val="000000"/>
          <w:sz w:val="22"/>
          <w:szCs w:val="22"/>
        </w:rPr>
        <w:t>IIIb</w:t>
      </w:r>
      <w:proofErr w:type="spellEnd"/>
      <w:r w:rsidRPr="00EA15EB">
        <w:rPr>
          <w:rFonts w:ascii="Arial" w:hAnsi="Arial" w:cs="Arial"/>
          <w:color w:val="000000"/>
          <w:sz w:val="22"/>
          <w:szCs w:val="22"/>
        </w:rPr>
        <w:t>).</w:t>
      </w:r>
    </w:p>
    <w:p w14:paraId="0B2DF355" w14:textId="77777777" w:rsidR="00EA15EB" w:rsidRPr="00EA15EB" w:rsidRDefault="00EA15EB" w:rsidP="00EA15EB">
      <w:pPr>
        <w:widowControl w:val="0"/>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color w:val="000000"/>
          <w:sz w:val="22"/>
          <w:szCs w:val="22"/>
        </w:rPr>
        <w:t>Some other considerations:</w:t>
      </w:r>
    </w:p>
    <w:p w14:paraId="7CDCB64D" w14:textId="77777777" w:rsidR="00EA15EB" w:rsidRPr="00EA15EB" w:rsidRDefault="00EA15EB" w:rsidP="00EA15EB">
      <w:pPr>
        <w:widowControl w:val="0"/>
        <w:numPr>
          <w:ilvl w:val="0"/>
          <w:numId w:val="8"/>
        </w:numPr>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color w:val="000000"/>
          <w:sz w:val="22"/>
          <w:szCs w:val="22"/>
        </w:rPr>
        <w:t>Intra-operative complications are not considered unless they have an adverse effect on the patient post-operatively. The only exception to this is intra-operative death; this is classified as grade V.</w:t>
      </w:r>
    </w:p>
    <w:p w14:paraId="3A4AB18B" w14:textId="77777777" w:rsidR="00EA15EB" w:rsidRPr="00EA15EB" w:rsidRDefault="00EA15EB" w:rsidP="00EA15EB">
      <w:pPr>
        <w:widowControl w:val="0"/>
        <w:numPr>
          <w:ilvl w:val="0"/>
          <w:numId w:val="8"/>
        </w:numPr>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color w:val="000000"/>
          <w:sz w:val="22"/>
          <w:szCs w:val="22"/>
        </w:rPr>
        <w:t>All post-operative adverse events are included, even when there is no direct relationship to the surgery.</w:t>
      </w:r>
    </w:p>
    <w:p w14:paraId="5E89E7DA" w14:textId="77777777" w:rsidR="00EA15EB" w:rsidRPr="00EA15EB" w:rsidRDefault="00EA15EB" w:rsidP="00EA15EB">
      <w:pPr>
        <w:widowControl w:val="0"/>
        <w:numPr>
          <w:ilvl w:val="0"/>
          <w:numId w:val="8"/>
        </w:numPr>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color w:val="000000"/>
          <w:sz w:val="22"/>
          <w:szCs w:val="22"/>
        </w:rPr>
        <w:t>All adverse events within the follow-up period (30 days) are included, even after following discharge.</w:t>
      </w:r>
    </w:p>
    <w:p w14:paraId="6B908589" w14:textId="719187FE" w:rsidR="00EA15EB" w:rsidRDefault="00EA15EB" w:rsidP="00EA15EB">
      <w:pPr>
        <w:widowControl w:val="0"/>
        <w:numPr>
          <w:ilvl w:val="0"/>
          <w:numId w:val="8"/>
        </w:numPr>
        <w:pBdr>
          <w:top w:val="nil"/>
          <w:left w:val="nil"/>
          <w:bottom w:val="nil"/>
          <w:right w:val="nil"/>
          <w:between w:val="nil"/>
        </w:pBdr>
        <w:spacing w:after="120" w:line="360" w:lineRule="auto"/>
        <w:rPr>
          <w:rFonts w:ascii="Arial" w:hAnsi="Arial" w:cs="Arial"/>
          <w:color w:val="000000"/>
          <w:sz w:val="22"/>
          <w:szCs w:val="22"/>
        </w:rPr>
      </w:pPr>
      <w:r w:rsidRPr="00EA15EB">
        <w:rPr>
          <w:rFonts w:ascii="Arial" w:hAnsi="Arial" w:cs="Arial"/>
          <w:color w:val="000000"/>
          <w:sz w:val="22"/>
          <w:szCs w:val="22"/>
        </w:rPr>
        <w:t xml:space="preserve">Diagnostic procedures are not included. For example, a diagnostic </w:t>
      </w:r>
      <w:proofErr w:type="spellStart"/>
      <w:r w:rsidRPr="00EA15EB">
        <w:rPr>
          <w:rFonts w:ascii="Arial" w:hAnsi="Arial" w:cs="Arial"/>
          <w:color w:val="000000"/>
          <w:sz w:val="22"/>
          <w:szCs w:val="22"/>
        </w:rPr>
        <w:t>oesophagoduodenoscopy</w:t>
      </w:r>
      <w:proofErr w:type="spellEnd"/>
      <w:r w:rsidRPr="00EA15EB">
        <w:rPr>
          <w:rFonts w:ascii="Arial" w:hAnsi="Arial" w:cs="Arial"/>
          <w:color w:val="000000"/>
          <w:sz w:val="22"/>
          <w:szCs w:val="22"/>
        </w:rPr>
        <w:t xml:space="preserve"> (OGD) to look for a source of bleeding without any intervention would not be considered a complication, but a therapeutic OGD with clipping of a bleeding vessel would be considered a grade IIIa complication. Since negative exploratory laparotomies are considered diagnostic procedures, they should not be recorded as complications.</w:t>
      </w:r>
    </w:p>
    <w:p w14:paraId="225FD5D4" w14:textId="2C022B4B" w:rsidR="00EA15EB" w:rsidRPr="00EA15EB" w:rsidRDefault="00EA15EB" w:rsidP="00EA15EB">
      <w:pPr>
        <w:rPr>
          <w:rFonts w:ascii="Arial" w:hAnsi="Arial" w:cs="Arial"/>
          <w:color w:val="000000"/>
          <w:sz w:val="22"/>
          <w:szCs w:val="22"/>
        </w:rPr>
      </w:pPr>
      <w:r>
        <w:rPr>
          <w:rFonts w:ascii="Arial" w:hAnsi="Arial" w:cs="Arial"/>
          <w:color w:val="000000"/>
          <w:sz w:val="22"/>
          <w:szCs w:val="22"/>
        </w:rPr>
        <w:br w:type="page"/>
      </w:r>
    </w:p>
    <w:tbl>
      <w:tblPr>
        <w:tblStyle w:val="TableGrid"/>
        <w:tblW w:w="9586" w:type="dxa"/>
        <w:tblLayout w:type="fixed"/>
        <w:tblLook w:val="0400" w:firstRow="0" w:lastRow="0" w:firstColumn="0" w:lastColumn="0" w:noHBand="0" w:noVBand="1"/>
      </w:tblPr>
      <w:tblGrid>
        <w:gridCol w:w="846"/>
        <w:gridCol w:w="8740"/>
      </w:tblGrid>
      <w:tr w:rsidR="00EA15EB" w:rsidRPr="00EA15EB" w14:paraId="488B41D6" w14:textId="77777777" w:rsidTr="00EA15EB">
        <w:tc>
          <w:tcPr>
            <w:tcW w:w="846" w:type="dxa"/>
          </w:tcPr>
          <w:p w14:paraId="519ADFA2" w14:textId="77777777" w:rsidR="00EA15EB" w:rsidRPr="00EA15EB" w:rsidRDefault="00EA15EB" w:rsidP="00EA15EB">
            <w:pPr>
              <w:widowControl w:val="0"/>
              <w:spacing w:before="120" w:after="120" w:line="360" w:lineRule="auto"/>
              <w:rPr>
                <w:rFonts w:ascii="Arial" w:hAnsi="Arial" w:cs="Arial"/>
                <w:b/>
                <w:color w:val="000000" w:themeColor="text1"/>
                <w:sz w:val="20"/>
                <w:szCs w:val="20"/>
              </w:rPr>
            </w:pPr>
            <w:r w:rsidRPr="00EA15EB">
              <w:rPr>
                <w:rFonts w:ascii="Arial" w:hAnsi="Arial" w:cs="Arial"/>
                <w:b/>
                <w:color w:val="000000" w:themeColor="text1"/>
                <w:sz w:val="20"/>
                <w:szCs w:val="20"/>
              </w:rPr>
              <w:lastRenderedPageBreak/>
              <w:t>Grade</w:t>
            </w:r>
          </w:p>
        </w:tc>
        <w:tc>
          <w:tcPr>
            <w:tcW w:w="8740" w:type="dxa"/>
          </w:tcPr>
          <w:p w14:paraId="3D823DD7" w14:textId="77777777" w:rsidR="00EA15EB" w:rsidRPr="00EA15EB" w:rsidRDefault="00EA15EB" w:rsidP="00EA15EB">
            <w:pPr>
              <w:widowControl w:val="0"/>
              <w:spacing w:before="120" w:after="120" w:line="360" w:lineRule="auto"/>
              <w:rPr>
                <w:rFonts w:ascii="Arial" w:hAnsi="Arial" w:cs="Arial"/>
                <w:b/>
                <w:color w:val="000000" w:themeColor="text1"/>
                <w:sz w:val="20"/>
                <w:szCs w:val="20"/>
              </w:rPr>
            </w:pPr>
            <w:r w:rsidRPr="00EA15EB">
              <w:rPr>
                <w:rFonts w:ascii="Arial" w:hAnsi="Arial" w:cs="Arial"/>
                <w:b/>
                <w:color w:val="000000" w:themeColor="text1"/>
                <w:sz w:val="20"/>
                <w:szCs w:val="20"/>
              </w:rPr>
              <w:t>Definition (examples listed in italics)</w:t>
            </w:r>
          </w:p>
        </w:tc>
      </w:tr>
      <w:tr w:rsidR="00EA15EB" w:rsidRPr="00EA15EB" w14:paraId="4CC74A70" w14:textId="77777777" w:rsidTr="00EA15EB">
        <w:tc>
          <w:tcPr>
            <w:tcW w:w="846" w:type="dxa"/>
          </w:tcPr>
          <w:p w14:paraId="21699BB1" w14:textId="77777777" w:rsidR="00EA15EB" w:rsidRPr="00EA15EB" w:rsidRDefault="00EA15EB" w:rsidP="00EA15EB">
            <w:pPr>
              <w:widowControl w:val="0"/>
              <w:spacing w:line="360" w:lineRule="auto"/>
              <w:rPr>
                <w:rFonts w:ascii="Arial" w:hAnsi="Arial" w:cs="Arial"/>
                <w:b/>
                <w:color w:val="000000" w:themeColor="text1"/>
                <w:sz w:val="20"/>
                <w:szCs w:val="20"/>
              </w:rPr>
            </w:pPr>
            <w:r w:rsidRPr="00EA15EB">
              <w:rPr>
                <w:rFonts w:ascii="Arial" w:hAnsi="Arial" w:cs="Arial"/>
                <w:b/>
                <w:color w:val="000000" w:themeColor="text1"/>
                <w:sz w:val="20"/>
                <w:szCs w:val="20"/>
              </w:rPr>
              <w:t>I</w:t>
            </w:r>
          </w:p>
        </w:tc>
        <w:tc>
          <w:tcPr>
            <w:tcW w:w="8740" w:type="dxa"/>
          </w:tcPr>
          <w:p w14:paraId="6B868CD2"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 xml:space="preserve">Any deviation from the normal postoperative course without the need for pharmacological (other than “allowed therapeutic regimens”), surgical, </w:t>
            </w:r>
            <w:proofErr w:type="gramStart"/>
            <w:r w:rsidRPr="00EA15EB">
              <w:rPr>
                <w:rFonts w:ascii="Arial" w:hAnsi="Arial" w:cs="Arial"/>
                <w:color w:val="000000" w:themeColor="text1"/>
                <w:sz w:val="20"/>
                <w:szCs w:val="20"/>
              </w:rPr>
              <w:t>endoscopic</w:t>
            </w:r>
            <w:proofErr w:type="gramEnd"/>
            <w:r w:rsidRPr="00EA15EB">
              <w:rPr>
                <w:rFonts w:ascii="Arial" w:hAnsi="Arial" w:cs="Arial"/>
                <w:color w:val="000000" w:themeColor="text1"/>
                <w:sz w:val="20"/>
                <w:szCs w:val="20"/>
              </w:rPr>
              <w:t xml:space="preserve"> or radiological intervention.</w:t>
            </w:r>
          </w:p>
          <w:p w14:paraId="23D544FC"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 xml:space="preserve">Allowed therapeutic regimens </w:t>
            </w:r>
            <w:proofErr w:type="gramStart"/>
            <w:r w:rsidRPr="00EA15EB">
              <w:rPr>
                <w:rFonts w:ascii="Arial" w:hAnsi="Arial" w:cs="Arial"/>
                <w:color w:val="000000" w:themeColor="text1"/>
                <w:sz w:val="20"/>
                <w:szCs w:val="20"/>
              </w:rPr>
              <w:t>are:</w:t>
            </w:r>
            <w:proofErr w:type="gramEnd"/>
            <w:r w:rsidRPr="00EA15EB">
              <w:rPr>
                <w:rFonts w:ascii="Arial" w:hAnsi="Arial" w:cs="Arial"/>
                <w:color w:val="000000" w:themeColor="text1"/>
                <w:sz w:val="20"/>
                <w:szCs w:val="20"/>
              </w:rPr>
              <w:t xml:space="preserve"> selected drugs (antiemetics, antipyretics, analgesics, diuretics and electrolyte replacement), physiotherapy and wound infections opened at the bedside but not treated with antibiotics.</w:t>
            </w:r>
          </w:p>
          <w:p w14:paraId="47C43237" w14:textId="77777777" w:rsidR="00EA15EB" w:rsidRPr="00EA15EB" w:rsidRDefault="00EA15EB" w:rsidP="00EA15EB">
            <w:pPr>
              <w:widowControl w:val="0"/>
              <w:pBdr>
                <w:top w:val="nil"/>
                <w:left w:val="nil"/>
                <w:bottom w:val="nil"/>
                <w:right w:val="nil"/>
                <w:between w:val="nil"/>
              </w:pBdr>
              <w:spacing w:line="360" w:lineRule="auto"/>
              <w:rPr>
                <w:rFonts w:ascii="Arial" w:hAnsi="Arial" w:cs="Arial"/>
                <w:i/>
                <w:color w:val="000000" w:themeColor="text1"/>
                <w:sz w:val="20"/>
                <w:szCs w:val="20"/>
              </w:rPr>
            </w:pPr>
            <w:r w:rsidRPr="00EA15EB">
              <w:rPr>
                <w:rFonts w:ascii="Arial" w:hAnsi="Arial" w:cs="Arial"/>
                <w:b/>
                <w:i/>
                <w:color w:val="000000" w:themeColor="text1"/>
                <w:sz w:val="20"/>
                <w:szCs w:val="20"/>
                <w:u w:val="single"/>
              </w:rPr>
              <w:t>Examples</w:t>
            </w:r>
            <w:r w:rsidRPr="00EA15EB">
              <w:rPr>
                <w:rFonts w:ascii="Arial" w:hAnsi="Arial" w:cs="Arial"/>
                <w:i/>
                <w:color w:val="000000" w:themeColor="text1"/>
                <w:sz w:val="20"/>
                <w:szCs w:val="20"/>
              </w:rPr>
              <w:t xml:space="preserve">: Ileus (deviation from the norm); hypokalaemia treated with K; nausea treated with </w:t>
            </w:r>
            <w:proofErr w:type="spellStart"/>
            <w:r w:rsidRPr="00EA15EB">
              <w:rPr>
                <w:rFonts w:ascii="Arial" w:hAnsi="Arial" w:cs="Arial"/>
                <w:i/>
                <w:color w:val="000000" w:themeColor="text1"/>
                <w:sz w:val="20"/>
                <w:szCs w:val="20"/>
              </w:rPr>
              <w:t>cyclizine</w:t>
            </w:r>
            <w:proofErr w:type="spellEnd"/>
            <w:r w:rsidRPr="00EA15EB">
              <w:rPr>
                <w:rFonts w:ascii="Arial" w:hAnsi="Arial" w:cs="Arial"/>
                <w:i/>
                <w:color w:val="000000" w:themeColor="text1"/>
                <w:sz w:val="20"/>
                <w:szCs w:val="20"/>
              </w:rPr>
              <w:t>; acute kidney injury treated with intravenous fluids.</w:t>
            </w:r>
          </w:p>
        </w:tc>
      </w:tr>
      <w:tr w:rsidR="00EA15EB" w:rsidRPr="00EA15EB" w14:paraId="5AD90A87" w14:textId="77777777" w:rsidTr="00EA15EB">
        <w:tc>
          <w:tcPr>
            <w:tcW w:w="846" w:type="dxa"/>
          </w:tcPr>
          <w:p w14:paraId="147F7817" w14:textId="77777777" w:rsidR="00EA15EB" w:rsidRPr="00EA15EB" w:rsidRDefault="00EA15EB" w:rsidP="00EA15EB">
            <w:pPr>
              <w:widowControl w:val="0"/>
              <w:spacing w:line="360" w:lineRule="auto"/>
              <w:rPr>
                <w:rFonts w:ascii="Arial" w:hAnsi="Arial" w:cs="Arial"/>
                <w:b/>
                <w:color w:val="000000" w:themeColor="text1"/>
                <w:sz w:val="20"/>
                <w:szCs w:val="20"/>
              </w:rPr>
            </w:pPr>
            <w:r w:rsidRPr="00EA15EB">
              <w:rPr>
                <w:rFonts w:ascii="Arial" w:hAnsi="Arial" w:cs="Arial"/>
                <w:b/>
                <w:color w:val="000000" w:themeColor="text1"/>
                <w:sz w:val="20"/>
                <w:szCs w:val="20"/>
              </w:rPr>
              <w:t>II</w:t>
            </w:r>
          </w:p>
        </w:tc>
        <w:tc>
          <w:tcPr>
            <w:tcW w:w="8740" w:type="dxa"/>
          </w:tcPr>
          <w:p w14:paraId="792ED62E"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Requiring pharmacological treatment with drugs beyond those allowed for</w:t>
            </w:r>
          </w:p>
          <w:p w14:paraId="14DB9C06"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grade I complications. Blood transfusions and total parenteral nutrition are also included.</w:t>
            </w:r>
          </w:p>
          <w:p w14:paraId="47FD48A7" w14:textId="77777777" w:rsidR="00EA15EB" w:rsidRPr="00EA15EB" w:rsidRDefault="00EA15EB" w:rsidP="00EA15EB">
            <w:pPr>
              <w:widowControl w:val="0"/>
              <w:pBdr>
                <w:top w:val="nil"/>
                <w:left w:val="nil"/>
                <w:bottom w:val="nil"/>
                <w:right w:val="nil"/>
                <w:between w:val="nil"/>
              </w:pBdr>
              <w:spacing w:line="360" w:lineRule="auto"/>
              <w:rPr>
                <w:rFonts w:ascii="Arial" w:hAnsi="Arial" w:cs="Arial"/>
                <w:i/>
                <w:color w:val="000000" w:themeColor="text1"/>
                <w:sz w:val="20"/>
                <w:szCs w:val="20"/>
              </w:rPr>
            </w:pPr>
            <w:r w:rsidRPr="00EA15EB">
              <w:rPr>
                <w:rFonts w:ascii="Arial" w:hAnsi="Arial" w:cs="Arial"/>
                <w:b/>
                <w:i/>
                <w:color w:val="000000" w:themeColor="text1"/>
                <w:sz w:val="20"/>
                <w:szCs w:val="20"/>
                <w:u w:val="single"/>
              </w:rPr>
              <w:t>Examples</w:t>
            </w:r>
            <w:r w:rsidRPr="00EA15EB">
              <w:rPr>
                <w:rFonts w:ascii="Arial" w:hAnsi="Arial" w:cs="Arial"/>
                <w:i/>
                <w:color w:val="000000" w:themeColor="text1"/>
                <w:sz w:val="20"/>
                <w:szCs w:val="20"/>
              </w:rPr>
              <w:t>: Surgical site infection treated with antibiotics; myocardial infarction treated medically; deep venous thrombosis treated with enoxaparin; pneumonia or urinary tract infection treated with antibiotics; blood transfusion for anaemia.</w:t>
            </w:r>
          </w:p>
        </w:tc>
      </w:tr>
      <w:tr w:rsidR="00EA15EB" w:rsidRPr="00EA15EB" w14:paraId="47AD5BD4" w14:textId="77777777" w:rsidTr="00EA15EB">
        <w:tc>
          <w:tcPr>
            <w:tcW w:w="846" w:type="dxa"/>
          </w:tcPr>
          <w:p w14:paraId="5375D168" w14:textId="77777777" w:rsidR="00EA15EB" w:rsidRPr="00EA15EB" w:rsidRDefault="00EA15EB" w:rsidP="00EA15EB">
            <w:pPr>
              <w:widowControl w:val="0"/>
              <w:spacing w:line="360" w:lineRule="auto"/>
              <w:rPr>
                <w:rFonts w:ascii="Arial" w:hAnsi="Arial" w:cs="Arial"/>
                <w:b/>
                <w:color w:val="000000" w:themeColor="text1"/>
                <w:sz w:val="20"/>
                <w:szCs w:val="20"/>
              </w:rPr>
            </w:pPr>
            <w:r w:rsidRPr="00EA15EB">
              <w:rPr>
                <w:rFonts w:ascii="Arial" w:hAnsi="Arial" w:cs="Arial"/>
                <w:b/>
                <w:color w:val="000000" w:themeColor="text1"/>
                <w:sz w:val="20"/>
                <w:szCs w:val="20"/>
              </w:rPr>
              <w:t>IIIa</w:t>
            </w:r>
          </w:p>
        </w:tc>
        <w:tc>
          <w:tcPr>
            <w:tcW w:w="8740" w:type="dxa"/>
          </w:tcPr>
          <w:p w14:paraId="69EF5FFD"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 xml:space="preserve">Requiring surgical, </w:t>
            </w:r>
            <w:proofErr w:type="gramStart"/>
            <w:r w:rsidRPr="00EA15EB">
              <w:rPr>
                <w:rFonts w:ascii="Arial" w:hAnsi="Arial" w:cs="Arial"/>
                <w:color w:val="000000" w:themeColor="text1"/>
                <w:sz w:val="20"/>
                <w:szCs w:val="20"/>
              </w:rPr>
              <w:t>endoscopic</w:t>
            </w:r>
            <w:proofErr w:type="gramEnd"/>
            <w:r w:rsidRPr="00EA15EB">
              <w:rPr>
                <w:rFonts w:ascii="Arial" w:hAnsi="Arial" w:cs="Arial"/>
                <w:color w:val="000000" w:themeColor="text1"/>
                <w:sz w:val="20"/>
                <w:szCs w:val="20"/>
              </w:rPr>
              <w:t xml:space="preserve"> or radiological intervention, not under general</w:t>
            </w:r>
          </w:p>
          <w:p w14:paraId="1F426B9E"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Anaesthetic (GA).</w:t>
            </w:r>
          </w:p>
          <w:p w14:paraId="522745CB" w14:textId="77777777" w:rsidR="00EA15EB" w:rsidRPr="00EA15EB" w:rsidRDefault="00EA15EB" w:rsidP="00EA15EB">
            <w:pPr>
              <w:widowControl w:val="0"/>
              <w:pBdr>
                <w:top w:val="nil"/>
                <w:left w:val="nil"/>
                <w:bottom w:val="nil"/>
                <w:right w:val="nil"/>
                <w:between w:val="nil"/>
              </w:pBdr>
              <w:spacing w:line="360" w:lineRule="auto"/>
              <w:rPr>
                <w:rFonts w:ascii="Arial" w:hAnsi="Arial" w:cs="Arial"/>
                <w:i/>
                <w:color w:val="000000" w:themeColor="text1"/>
                <w:sz w:val="20"/>
                <w:szCs w:val="20"/>
              </w:rPr>
            </w:pPr>
            <w:r w:rsidRPr="00EA15EB">
              <w:rPr>
                <w:rFonts w:ascii="Arial" w:hAnsi="Arial" w:cs="Arial"/>
                <w:b/>
                <w:i/>
                <w:color w:val="000000" w:themeColor="text1"/>
                <w:sz w:val="20"/>
                <w:szCs w:val="20"/>
                <w:u w:val="single"/>
              </w:rPr>
              <w:t>Examples</w:t>
            </w:r>
            <w:r w:rsidRPr="00EA15EB">
              <w:rPr>
                <w:rFonts w:ascii="Arial" w:hAnsi="Arial" w:cs="Arial"/>
                <w:i/>
                <w:color w:val="000000" w:themeColor="text1"/>
                <w:sz w:val="20"/>
                <w:szCs w:val="20"/>
              </w:rPr>
              <w:t>: Therapeutic endoscopic therapy (do not include diagnostic procedures); interventional radiology procedures.</w:t>
            </w:r>
          </w:p>
        </w:tc>
      </w:tr>
      <w:tr w:rsidR="00EA15EB" w:rsidRPr="00EA15EB" w14:paraId="60693CFD" w14:textId="77777777" w:rsidTr="00EA15EB">
        <w:tc>
          <w:tcPr>
            <w:tcW w:w="846" w:type="dxa"/>
          </w:tcPr>
          <w:p w14:paraId="60A8C11C" w14:textId="77777777" w:rsidR="00EA15EB" w:rsidRPr="00EA15EB" w:rsidRDefault="00EA15EB" w:rsidP="00EA15EB">
            <w:pPr>
              <w:widowControl w:val="0"/>
              <w:spacing w:line="360" w:lineRule="auto"/>
              <w:rPr>
                <w:rFonts w:ascii="Arial" w:hAnsi="Arial" w:cs="Arial"/>
                <w:b/>
                <w:color w:val="000000" w:themeColor="text1"/>
                <w:sz w:val="20"/>
                <w:szCs w:val="20"/>
              </w:rPr>
            </w:pPr>
            <w:proofErr w:type="spellStart"/>
            <w:r w:rsidRPr="00EA15EB">
              <w:rPr>
                <w:rFonts w:ascii="Arial" w:hAnsi="Arial" w:cs="Arial"/>
                <w:b/>
                <w:color w:val="000000" w:themeColor="text1"/>
                <w:sz w:val="20"/>
                <w:szCs w:val="20"/>
              </w:rPr>
              <w:t>IIIb</w:t>
            </w:r>
            <w:proofErr w:type="spellEnd"/>
          </w:p>
        </w:tc>
        <w:tc>
          <w:tcPr>
            <w:tcW w:w="8740" w:type="dxa"/>
          </w:tcPr>
          <w:p w14:paraId="45053AFE"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 xml:space="preserve">Requiring surgical, </w:t>
            </w:r>
            <w:proofErr w:type="gramStart"/>
            <w:r w:rsidRPr="00EA15EB">
              <w:rPr>
                <w:rFonts w:ascii="Arial" w:hAnsi="Arial" w:cs="Arial"/>
                <w:color w:val="000000" w:themeColor="text1"/>
                <w:sz w:val="20"/>
                <w:szCs w:val="20"/>
              </w:rPr>
              <w:t>endoscopic</w:t>
            </w:r>
            <w:proofErr w:type="gramEnd"/>
            <w:r w:rsidRPr="00EA15EB">
              <w:rPr>
                <w:rFonts w:ascii="Arial" w:hAnsi="Arial" w:cs="Arial"/>
                <w:color w:val="000000" w:themeColor="text1"/>
                <w:sz w:val="20"/>
                <w:szCs w:val="20"/>
              </w:rPr>
              <w:t xml:space="preserve"> or radiological intervention, under GA.</w:t>
            </w:r>
          </w:p>
          <w:p w14:paraId="74B50AB8" w14:textId="77777777" w:rsidR="00EA15EB" w:rsidRPr="00EA15EB" w:rsidRDefault="00EA15EB" w:rsidP="00EA15EB">
            <w:pPr>
              <w:widowControl w:val="0"/>
              <w:pBdr>
                <w:top w:val="nil"/>
                <w:left w:val="nil"/>
                <w:bottom w:val="nil"/>
                <w:right w:val="nil"/>
                <w:between w:val="nil"/>
              </w:pBdr>
              <w:spacing w:line="360" w:lineRule="auto"/>
              <w:rPr>
                <w:rFonts w:ascii="Arial" w:hAnsi="Arial" w:cs="Arial"/>
                <w:i/>
                <w:color w:val="000000" w:themeColor="text1"/>
                <w:sz w:val="20"/>
                <w:szCs w:val="20"/>
              </w:rPr>
            </w:pPr>
            <w:r w:rsidRPr="00EA15EB">
              <w:rPr>
                <w:rFonts w:ascii="Arial" w:hAnsi="Arial" w:cs="Arial"/>
                <w:b/>
                <w:i/>
                <w:color w:val="000000" w:themeColor="text1"/>
                <w:sz w:val="20"/>
                <w:szCs w:val="20"/>
                <w:u w:val="single"/>
              </w:rPr>
              <w:t>Examples</w:t>
            </w:r>
            <w:r w:rsidRPr="00EA15EB">
              <w:rPr>
                <w:rFonts w:ascii="Arial" w:hAnsi="Arial" w:cs="Arial"/>
                <w:i/>
                <w:color w:val="000000" w:themeColor="text1"/>
                <w:sz w:val="20"/>
                <w:szCs w:val="20"/>
              </w:rPr>
              <w:t>: Return to theatre for any reason.</w:t>
            </w:r>
          </w:p>
        </w:tc>
      </w:tr>
      <w:tr w:rsidR="00EA15EB" w:rsidRPr="00EA15EB" w14:paraId="33F5EED0" w14:textId="77777777" w:rsidTr="00EA15EB">
        <w:tc>
          <w:tcPr>
            <w:tcW w:w="846" w:type="dxa"/>
          </w:tcPr>
          <w:p w14:paraId="40559166" w14:textId="77777777" w:rsidR="00EA15EB" w:rsidRPr="00EA15EB" w:rsidRDefault="00EA15EB" w:rsidP="00EA15EB">
            <w:pPr>
              <w:widowControl w:val="0"/>
              <w:spacing w:line="360" w:lineRule="auto"/>
              <w:rPr>
                <w:rFonts w:ascii="Arial" w:hAnsi="Arial" w:cs="Arial"/>
                <w:b/>
                <w:color w:val="000000" w:themeColor="text1"/>
                <w:sz w:val="20"/>
                <w:szCs w:val="20"/>
              </w:rPr>
            </w:pPr>
            <w:proofErr w:type="spellStart"/>
            <w:r w:rsidRPr="00EA15EB">
              <w:rPr>
                <w:rFonts w:ascii="Arial" w:hAnsi="Arial" w:cs="Arial"/>
                <w:b/>
                <w:color w:val="000000" w:themeColor="text1"/>
                <w:sz w:val="20"/>
                <w:szCs w:val="20"/>
              </w:rPr>
              <w:t>IVa</w:t>
            </w:r>
            <w:proofErr w:type="spellEnd"/>
          </w:p>
        </w:tc>
        <w:tc>
          <w:tcPr>
            <w:tcW w:w="8740" w:type="dxa"/>
          </w:tcPr>
          <w:p w14:paraId="2DB7C794"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Life-threatening complications requiring critical care management with single organ dysfunction, or neurological complications including brain haemorrhage and ischemic stroke (excluding TIA).</w:t>
            </w:r>
          </w:p>
          <w:p w14:paraId="7E704437" w14:textId="77777777" w:rsidR="00EA15EB" w:rsidRPr="00EA15EB" w:rsidRDefault="00EA15EB" w:rsidP="00EA15EB">
            <w:pPr>
              <w:widowControl w:val="0"/>
              <w:spacing w:line="360" w:lineRule="auto"/>
              <w:rPr>
                <w:rFonts w:ascii="Arial" w:hAnsi="Arial" w:cs="Arial"/>
                <w:b/>
                <w:color w:val="000000" w:themeColor="text1"/>
                <w:sz w:val="20"/>
                <w:szCs w:val="20"/>
              </w:rPr>
            </w:pPr>
            <w:r w:rsidRPr="00EA15EB">
              <w:rPr>
                <w:rFonts w:ascii="Arial" w:hAnsi="Arial" w:cs="Arial"/>
                <w:b/>
                <w:i/>
                <w:color w:val="000000" w:themeColor="text1"/>
                <w:sz w:val="20"/>
                <w:szCs w:val="20"/>
                <w:u w:val="single"/>
              </w:rPr>
              <w:t>Examples</w:t>
            </w:r>
            <w:r w:rsidRPr="00EA15EB">
              <w:rPr>
                <w:rFonts w:ascii="Arial" w:hAnsi="Arial" w:cs="Arial"/>
                <w:i/>
                <w:color w:val="000000" w:themeColor="text1"/>
                <w:sz w:val="20"/>
                <w:szCs w:val="20"/>
              </w:rPr>
              <w:t>: Single organ dysfunction requiring critical care management, e.g. pneumonia with ventilator support, renal failure with filtration; SAH; stroke</w:t>
            </w:r>
          </w:p>
        </w:tc>
      </w:tr>
      <w:tr w:rsidR="00EA15EB" w:rsidRPr="00EA15EB" w14:paraId="3B829565" w14:textId="77777777" w:rsidTr="00EA15EB">
        <w:tc>
          <w:tcPr>
            <w:tcW w:w="846" w:type="dxa"/>
          </w:tcPr>
          <w:p w14:paraId="7CD76C90" w14:textId="77777777" w:rsidR="00EA15EB" w:rsidRPr="00EA15EB" w:rsidRDefault="00EA15EB" w:rsidP="00EA15EB">
            <w:pPr>
              <w:widowControl w:val="0"/>
              <w:spacing w:line="360" w:lineRule="auto"/>
              <w:rPr>
                <w:rFonts w:ascii="Arial" w:hAnsi="Arial" w:cs="Arial"/>
                <w:b/>
                <w:color w:val="000000" w:themeColor="text1"/>
                <w:sz w:val="20"/>
                <w:szCs w:val="20"/>
              </w:rPr>
            </w:pPr>
            <w:proofErr w:type="spellStart"/>
            <w:r w:rsidRPr="00EA15EB">
              <w:rPr>
                <w:rFonts w:ascii="Arial" w:hAnsi="Arial" w:cs="Arial"/>
                <w:b/>
                <w:color w:val="000000" w:themeColor="text1"/>
                <w:sz w:val="20"/>
                <w:szCs w:val="20"/>
              </w:rPr>
              <w:t>IVb</w:t>
            </w:r>
            <w:proofErr w:type="spellEnd"/>
          </w:p>
        </w:tc>
        <w:tc>
          <w:tcPr>
            <w:tcW w:w="8740" w:type="dxa"/>
          </w:tcPr>
          <w:p w14:paraId="6F6CC9B2" w14:textId="77777777" w:rsidR="00EA15EB" w:rsidRPr="00EA15EB" w:rsidRDefault="00EA15EB" w:rsidP="00EA15EB">
            <w:pPr>
              <w:widowControl w:val="0"/>
              <w:pBdr>
                <w:top w:val="nil"/>
                <w:left w:val="nil"/>
                <w:bottom w:val="nil"/>
                <w:right w:val="nil"/>
                <w:between w:val="nil"/>
              </w:pBdr>
              <w:spacing w:line="360" w:lineRule="auto"/>
              <w:rPr>
                <w:rFonts w:ascii="Arial" w:hAnsi="Arial" w:cs="Arial"/>
                <w:color w:val="000000" w:themeColor="text1"/>
                <w:sz w:val="20"/>
                <w:szCs w:val="20"/>
              </w:rPr>
            </w:pPr>
            <w:r w:rsidRPr="00EA15EB">
              <w:rPr>
                <w:rFonts w:ascii="Arial" w:hAnsi="Arial" w:cs="Arial"/>
                <w:color w:val="000000" w:themeColor="text1"/>
                <w:sz w:val="20"/>
                <w:szCs w:val="20"/>
              </w:rPr>
              <w:t>Life-threatening complications requiring critical care management with multi-organ dysfunction.</w:t>
            </w:r>
          </w:p>
        </w:tc>
      </w:tr>
    </w:tbl>
    <w:p w14:paraId="1BAA148B" w14:textId="77777777" w:rsidR="00EA15EB" w:rsidRPr="00EA15EB" w:rsidRDefault="00EA15EB" w:rsidP="00EA15EB">
      <w:pPr>
        <w:spacing w:line="360" w:lineRule="auto"/>
        <w:rPr>
          <w:rFonts w:ascii="Arial" w:hAnsi="Arial" w:cs="Arial"/>
          <w:sz w:val="22"/>
          <w:szCs w:val="22"/>
        </w:rPr>
      </w:pPr>
    </w:p>
    <w:p w14:paraId="66E2CB98" w14:textId="77777777" w:rsidR="00EA15EB" w:rsidRPr="00EA15EB" w:rsidRDefault="00EA15EB" w:rsidP="00EA15EB">
      <w:pPr>
        <w:rPr>
          <w:rFonts w:ascii="Arial" w:hAnsi="Arial" w:cs="Arial"/>
          <w:sz w:val="22"/>
          <w:szCs w:val="22"/>
        </w:rPr>
      </w:pPr>
      <w:r w:rsidRPr="00EA15EB">
        <w:rPr>
          <w:rFonts w:ascii="Arial" w:hAnsi="Arial" w:cs="Arial"/>
          <w:sz w:val="22"/>
          <w:szCs w:val="22"/>
        </w:rPr>
        <w:br w:type="page"/>
      </w:r>
    </w:p>
    <w:p w14:paraId="25A981C7" w14:textId="77777777" w:rsidR="00EA15EB" w:rsidRDefault="00EA15EB" w:rsidP="00EA15EB">
      <w:pPr>
        <w:pBdr>
          <w:top w:val="nil"/>
          <w:left w:val="nil"/>
          <w:bottom w:val="nil"/>
          <w:right w:val="nil"/>
          <w:between w:val="nil"/>
        </w:pBdr>
        <w:spacing w:line="360" w:lineRule="auto"/>
        <w:rPr>
          <w:rFonts w:ascii="Arial" w:hAnsi="Arial" w:cs="Arial"/>
          <w:b/>
          <w:color w:val="000000" w:themeColor="text1"/>
          <w:sz w:val="22"/>
          <w:szCs w:val="22"/>
        </w:rPr>
      </w:pPr>
      <w:r w:rsidRPr="00EA15EB">
        <w:rPr>
          <w:rFonts w:ascii="Arial" w:hAnsi="Arial" w:cs="Arial"/>
          <w:b/>
          <w:color w:val="000000" w:themeColor="text1"/>
          <w:sz w:val="22"/>
          <w:szCs w:val="22"/>
        </w:rPr>
        <w:lastRenderedPageBreak/>
        <w:t>Clinical Frailty Score</w:t>
      </w:r>
    </w:p>
    <w:tbl>
      <w:tblPr>
        <w:tblStyle w:val="TableGrid"/>
        <w:tblW w:w="0" w:type="auto"/>
        <w:tblLook w:val="04A0" w:firstRow="1" w:lastRow="0" w:firstColumn="1" w:lastColumn="0" w:noHBand="0" w:noVBand="1"/>
      </w:tblPr>
      <w:tblGrid>
        <w:gridCol w:w="772"/>
        <w:gridCol w:w="1547"/>
        <w:gridCol w:w="6691"/>
      </w:tblGrid>
      <w:tr w:rsidR="001322BA" w:rsidRPr="00173B44" w14:paraId="65750C36" w14:textId="77777777" w:rsidTr="00173B44">
        <w:trPr>
          <w:trHeight w:val="20"/>
        </w:trPr>
        <w:tc>
          <w:tcPr>
            <w:tcW w:w="562" w:type="dxa"/>
          </w:tcPr>
          <w:p w14:paraId="560BA8F5" w14:textId="0FB68F70" w:rsidR="001322BA" w:rsidRPr="00173B44" w:rsidRDefault="001322BA" w:rsidP="00EA15EB">
            <w:pPr>
              <w:spacing w:line="360" w:lineRule="auto"/>
              <w:rPr>
                <w:rFonts w:ascii="Arial" w:hAnsi="Arial" w:cs="Arial"/>
                <w:b/>
                <w:color w:val="000000" w:themeColor="text1"/>
                <w:sz w:val="20"/>
                <w:szCs w:val="20"/>
              </w:rPr>
            </w:pPr>
            <w:r w:rsidRPr="00173B44">
              <w:rPr>
                <w:rFonts w:ascii="Arial" w:hAnsi="Arial" w:cs="Arial"/>
                <w:b/>
                <w:color w:val="000000" w:themeColor="text1"/>
                <w:sz w:val="20"/>
                <w:szCs w:val="20"/>
              </w:rPr>
              <w:t>Score</w:t>
            </w:r>
          </w:p>
        </w:tc>
        <w:tc>
          <w:tcPr>
            <w:tcW w:w="1560" w:type="dxa"/>
          </w:tcPr>
          <w:p w14:paraId="185DAEF3" w14:textId="2E5BDA8F" w:rsidR="001322BA" w:rsidRPr="00173B44" w:rsidRDefault="001322BA" w:rsidP="00EA15EB">
            <w:pPr>
              <w:spacing w:line="360" w:lineRule="auto"/>
              <w:rPr>
                <w:rFonts w:ascii="Arial" w:hAnsi="Arial" w:cs="Arial"/>
                <w:b/>
                <w:color w:val="000000" w:themeColor="text1"/>
                <w:sz w:val="20"/>
                <w:szCs w:val="20"/>
              </w:rPr>
            </w:pPr>
            <w:r w:rsidRPr="00173B44">
              <w:rPr>
                <w:rFonts w:ascii="Arial" w:hAnsi="Arial" w:cs="Arial"/>
                <w:b/>
                <w:color w:val="000000" w:themeColor="text1"/>
                <w:sz w:val="20"/>
                <w:szCs w:val="20"/>
              </w:rPr>
              <w:t>Level</w:t>
            </w:r>
          </w:p>
        </w:tc>
        <w:tc>
          <w:tcPr>
            <w:tcW w:w="6888" w:type="dxa"/>
          </w:tcPr>
          <w:p w14:paraId="5D0D61FD" w14:textId="6D7C7142" w:rsidR="001322BA" w:rsidRPr="00173B44" w:rsidRDefault="001322BA" w:rsidP="00EA15EB">
            <w:pPr>
              <w:spacing w:line="360" w:lineRule="auto"/>
              <w:rPr>
                <w:rFonts w:ascii="Arial" w:hAnsi="Arial" w:cs="Arial"/>
                <w:b/>
                <w:color w:val="000000" w:themeColor="text1"/>
                <w:sz w:val="20"/>
                <w:szCs w:val="20"/>
              </w:rPr>
            </w:pPr>
            <w:r w:rsidRPr="00173B44">
              <w:rPr>
                <w:rFonts w:ascii="Arial" w:hAnsi="Arial" w:cs="Arial"/>
                <w:b/>
                <w:color w:val="000000" w:themeColor="text1"/>
                <w:sz w:val="20"/>
                <w:szCs w:val="20"/>
              </w:rPr>
              <w:t>Definition</w:t>
            </w:r>
          </w:p>
        </w:tc>
      </w:tr>
      <w:tr w:rsidR="001322BA" w:rsidRPr="001322BA" w14:paraId="7647E2E7" w14:textId="77777777" w:rsidTr="001322BA">
        <w:tc>
          <w:tcPr>
            <w:tcW w:w="562" w:type="dxa"/>
          </w:tcPr>
          <w:p w14:paraId="566263A2" w14:textId="5A11D933"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1</w:t>
            </w:r>
          </w:p>
        </w:tc>
        <w:tc>
          <w:tcPr>
            <w:tcW w:w="1560" w:type="dxa"/>
          </w:tcPr>
          <w:p w14:paraId="17952CE6" w14:textId="2E9CDFBA"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Very fit</w:t>
            </w:r>
          </w:p>
        </w:tc>
        <w:tc>
          <w:tcPr>
            <w:tcW w:w="6888" w:type="dxa"/>
          </w:tcPr>
          <w:p w14:paraId="50E82E5F" w14:textId="71F9EB74" w:rsidR="001322BA" w:rsidRPr="001322BA" w:rsidRDefault="001322BA" w:rsidP="001322BA">
            <w:pPr>
              <w:pStyle w:val="NormalWeb"/>
              <w:shd w:val="clear" w:color="auto" w:fill="FFFFFF"/>
              <w:rPr>
                <w:rFonts w:ascii="Arial" w:hAnsi="Arial" w:cs="Arial"/>
                <w:sz w:val="20"/>
                <w:szCs w:val="20"/>
              </w:rPr>
            </w:pPr>
            <w:r w:rsidRPr="001322BA">
              <w:rPr>
                <w:rFonts w:ascii="Arial" w:hAnsi="Arial" w:cs="Arial"/>
                <w:color w:val="333333"/>
                <w:sz w:val="20"/>
                <w:szCs w:val="20"/>
              </w:rPr>
              <w:t xml:space="preserve">People who are robust, active, </w:t>
            </w:r>
            <w:proofErr w:type="gramStart"/>
            <w:r w:rsidRPr="001322BA">
              <w:rPr>
                <w:rFonts w:ascii="Arial" w:hAnsi="Arial" w:cs="Arial"/>
                <w:color w:val="333333"/>
                <w:sz w:val="20"/>
                <w:szCs w:val="20"/>
              </w:rPr>
              <w:t>energetic</w:t>
            </w:r>
            <w:proofErr w:type="gramEnd"/>
            <w:r w:rsidRPr="001322BA">
              <w:rPr>
                <w:rFonts w:ascii="Arial" w:hAnsi="Arial" w:cs="Arial"/>
                <w:color w:val="333333"/>
                <w:sz w:val="20"/>
                <w:szCs w:val="20"/>
              </w:rPr>
              <w:t xml:space="preserve"> and motivated.</w:t>
            </w:r>
            <w:r w:rsidR="00173B44">
              <w:rPr>
                <w:rFonts w:ascii="Arial" w:hAnsi="Arial" w:cs="Arial"/>
                <w:color w:val="333333"/>
                <w:sz w:val="20"/>
                <w:szCs w:val="20"/>
              </w:rPr>
              <w:t xml:space="preserve"> </w:t>
            </w:r>
            <w:proofErr w:type="gramStart"/>
            <w:r w:rsidRPr="001322BA">
              <w:rPr>
                <w:rFonts w:ascii="Arial" w:hAnsi="Arial" w:cs="Arial"/>
                <w:color w:val="333333"/>
                <w:sz w:val="20"/>
                <w:szCs w:val="20"/>
              </w:rPr>
              <w:t>These</w:t>
            </w:r>
            <w:proofErr w:type="gramEnd"/>
            <w:r w:rsidRPr="001322BA">
              <w:rPr>
                <w:rFonts w:ascii="Arial" w:hAnsi="Arial" w:cs="Arial"/>
                <w:color w:val="333333"/>
                <w:sz w:val="20"/>
                <w:szCs w:val="20"/>
              </w:rPr>
              <w:t xml:space="preserve"> people commonly exercise regularly. They are among the fittest for their age.</w:t>
            </w:r>
            <w:r w:rsidRPr="001322BA">
              <w:rPr>
                <w:rFonts w:ascii="Arial" w:hAnsi="Arial" w:cs="Arial"/>
                <w:bCs/>
                <w:color w:val="000000" w:themeColor="text1"/>
                <w:sz w:val="20"/>
                <w:szCs w:val="20"/>
              </w:rPr>
              <w:tab/>
            </w:r>
          </w:p>
        </w:tc>
      </w:tr>
      <w:tr w:rsidR="001322BA" w:rsidRPr="001322BA" w14:paraId="75CDFE21" w14:textId="77777777" w:rsidTr="001322BA">
        <w:tc>
          <w:tcPr>
            <w:tcW w:w="562" w:type="dxa"/>
          </w:tcPr>
          <w:p w14:paraId="3ED8A371" w14:textId="79C66CD7"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2</w:t>
            </w:r>
          </w:p>
        </w:tc>
        <w:tc>
          <w:tcPr>
            <w:tcW w:w="1560" w:type="dxa"/>
          </w:tcPr>
          <w:p w14:paraId="1802F2B5" w14:textId="77B3F267"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Well</w:t>
            </w:r>
          </w:p>
        </w:tc>
        <w:tc>
          <w:tcPr>
            <w:tcW w:w="6888" w:type="dxa"/>
          </w:tcPr>
          <w:p w14:paraId="4425B643" w14:textId="35751658" w:rsidR="001322BA" w:rsidRPr="001322BA" w:rsidRDefault="001322BA" w:rsidP="001322BA">
            <w:pPr>
              <w:pStyle w:val="NormalWeb"/>
              <w:shd w:val="clear" w:color="auto" w:fill="FFFFFF"/>
              <w:rPr>
                <w:rFonts w:ascii="Arial" w:hAnsi="Arial" w:cs="Arial"/>
                <w:sz w:val="20"/>
                <w:szCs w:val="20"/>
              </w:rPr>
            </w:pPr>
            <w:r w:rsidRPr="001322BA">
              <w:rPr>
                <w:rFonts w:ascii="Arial" w:hAnsi="Arial" w:cs="Arial"/>
                <w:color w:val="333333"/>
                <w:sz w:val="20"/>
                <w:szCs w:val="20"/>
              </w:rPr>
              <w:t xml:space="preserve">People who have </w:t>
            </w:r>
            <w:r w:rsidRPr="001322BA">
              <w:rPr>
                <w:rFonts w:ascii="Arial" w:hAnsi="Arial" w:cs="Arial"/>
                <w:sz w:val="20"/>
                <w:szCs w:val="20"/>
              </w:rPr>
              <w:t xml:space="preserve">no active disease symptoms </w:t>
            </w:r>
            <w:r w:rsidRPr="001322BA">
              <w:rPr>
                <w:rFonts w:ascii="Arial" w:hAnsi="Arial" w:cs="Arial"/>
                <w:color w:val="333333"/>
                <w:sz w:val="20"/>
                <w:szCs w:val="20"/>
              </w:rPr>
              <w:t xml:space="preserve">but are less fit than category 1. Often, they exercise or are very </w:t>
            </w:r>
            <w:r w:rsidRPr="001322BA">
              <w:rPr>
                <w:rFonts w:ascii="Arial" w:hAnsi="Arial" w:cs="Arial"/>
                <w:sz w:val="20"/>
                <w:szCs w:val="20"/>
              </w:rPr>
              <w:t>active occasionally</w:t>
            </w:r>
            <w:r w:rsidRPr="001322BA">
              <w:rPr>
                <w:rFonts w:ascii="Arial" w:hAnsi="Arial" w:cs="Arial"/>
                <w:color w:val="333333"/>
                <w:sz w:val="20"/>
                <w:szCs w:val="20"/>
              </w:rPr>
              <w:t>, e.g. seasonally.</w:t>
            </w:r>
          </w:p>
        </w:tc>
      </w:tr>
      <w:tr w:rsidR="001322BA" w:rsidRPr="001322BA" w14:paraId="773A0A32" w14:textId="77777777" w:rsidTr="001322BA">
        <w:tc>
          <w:tcPr>
            <w:tcW w:w="562" w:type="dxa"/>
          </w:tcPr>
          <w:p w14:paraId="7A9B375D" w14:textId="4C4A62D9"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3</w:t>
            </w:r>
          </w:p>
        </w:tc>
        <w:tc>
          <w:tcPr>
            <w:tcW w:w="1560" w:type="dxa"/>
          </w:tcPr>
          <w:p w14:paraId="2FA7E2E6" w14:textId="134D70B2"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Managing well</w:t>
            </w:r>
          </w:p>
        </w:tc>
        <w:tc>
          <w:tcPr>
            <w:tcW w:w="6888" w:type="dxa"/>
          </w:tcPr>
          <w:p w14:paraId="56B84BA0" w14:textId="5C6D8E53" w:rsidR="001322BA" w:rsidRPr="001322BA" w:rsidRDefault="001322BA" w:rsidP="001322BA">
            <w:pPr>
              <w:pStyle w:val="NormalWeb"/>
              <w:shd w:val="clear" w:color="auto" w:fill="FFFFFF"/>
              <w:rPr>
                <w:rFonts w:ascii="Arial" w:hAnsi="Arial" w:cs="Arial"/>
                <w:sz w:val="20"/>
                <w:szCs w:val="20"/>
              </w:rPr>
            </w:pPr>
            <w:r w:rsidRPr="001322BA">
              <w:rPr>
                <w:rFonts w:ascii="Arial" w:hAnsi="Arial" w:cs="Arial"/>
                <w:color w:val="333333"/>
                <w:sz w:val="20"/>
                <w:szCs w:val="20"/>
              </w:rPr>
              <w:t xml:space="preserve">People whose </w:t>
            </w:r>
            <w:r w:rsidRPr="001322BA">
              <w:rPr>
                <w:rFonts w:ascii="Arial" w:hAnsi="Arial" w:cs="Arial"/>
                <w:sz w:val="20"/>
                <w:szCs w:val="20"/>
              </w:rPr>
              <w:t xml:space="preserve">medical problems are well controlled </w:t>
            </w:r>
            <w:r w:rsidRPr="001322BA">
              <w:rPr>
                <w:rFonts w:ascii="Arial" w:hAnsi="Arial" w:cs="Arial"/>
                <w:color w:val="333333"/>
                <w:sz w:val="20"/>
                <w:szCs w:val="20"/>
              </w:rPr>
              <w:t xml:space="preserve">but are </w:t>
            </w:r>
            <w:r w:rsidRPr="001322BA">
              <w:rPr>
                <w:rFonts w:ascii="Arial" w:hAnsi="Arial" w:cs="Arial"/>
                <w:sz w:val="20"/>
                <w:szCs w:val="20"/>
              </w:rPr>
              <w:t xml:space="preserve">not regularly active </w:t>
            </w:r>
            <w:r w:rsidRPr="001322BA">
              <w:rPr>
                <w:rFonts w:ascii="Arial" w:hAnsi="Arial" w:cs="Arial"/>
                <w:color w:val="333333"/>
                <w:sz w:val="20"/>
                <w:szCs w:val="20"/>
              </w:rPr>
              <w:t xml:space="preserve">beyond routine walking. </w:t>
            </w:r>
          </w:p>
        </w:tc>
      </w:tr>
      <w:tr w:rsidR="001322BA" w:rsidRPr="001322BA" w14:paraId="3D832712" w14:textId="77777777" w:rsidTr="001322BA">
        <w:tc>
          <w:tcPr>
            <w:tcW w:w="562" w:type="dxa"/>
          </w:tcPr>
          <w:p w14:paraId="08A60E8A" w14:textId="5CBF0A81"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4</w:t>
            </w:r>
          </w:p>
        </w:tc>
        <w:tc>
          <w:tcPr>
            <w:tcW w:w="1560" w:type="dxa"/>
          </w:tcPr>
          <w:p w14:paraId="658866AC" w14:textId="3ADB6E18"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Vulnerable</w:t>
            </w:r>
          </w:p>
        </w:tc>
        <w:tc>
          <w:tcPr>
            <w:tcW w:w="6888" w:type="dxa"/>
          </w:tcPr>
          <w:p w14:paraId="3CD7CA92" w14:textId="6608B41C" w:rsidR="001322BA" w:rsidRPr="001322BA" w:rsidRDefault="001322BA" w:rsidP="001322BA">
            <w:pPr>
              <w:pStyle w:val="NormalWeb"/>
              <w:shd w:val="clear" w:color="auto" w:fill="FFFFFF"/>
              <w:rPr>
                <w:rFonts w:ascii="Arial" w:hAnsi="Arial" w:cs="Arial"/>
                <w:sz w:val="20"/>
                <w:szCs w:val="20"/>
              </w:rPr>
            </w:pPr>
            <w:r w:rsidRPr="001322BA">
              <w:rPr>
                <w:rFonts w:ascii="Arial" w:hAnsi="Arial" w:cs="Arial"/>
                <w:color w:val="333333"/>
                <w:sz w:val="20"/>
                <w:szCs w:val="20"/>
              </w:rPr>
              <w:t xml:space="preserve">While </w:t>
            </w:r>
            <w:r w:rsidRPr="001322BA">
              <w:rPr>
                <w:rFonts w:ascii="Arial" w:hAnsi="Arial" w:cs="Arial"/>
                <w:sz w:val="20"/>
                <w:szCs w:val="20"/>
              </w:rPr>
              <w:t xml:space="preserve">not dependent </w:t>
            </w:r>
            <w:r w:rsidRPr="001322BA">
              <w:rPr>
                <w:rFonts w:ascii="Arial" w:hAnsi="Arial" w:cs="Arial"/>
                <w:color w:val="333333"/>
                <w:sz w:val="20"/>
                <w:szCs w:val="20"/>
              </w:rPr>
              <w:t xml:space="preserve">on others for daily help, often </w:t>
            </w:r>
            <w:r w:rsidRPr="001322BA">
              <w:rPr>
                <w:rFonts w:ascii="Arial" w:hAnsi="Arial" w:cs="Arial"/>
                <w:sz w:val="20"/>
                <w:szCs w:val="20"/>
              </w:rPr>
              <w:t xml:space="preserve">symptoms limit activities. </w:t>
            </w:r>
            <w:r w:rsidRPr="001322BA">
              <w:rPr>
                <w:rFonts w:ascii="Arial" w:hAnsi="Arial" w:cs="Arial"/>
                <w:color w:val="333333"/>
                <w:sz w:val="20"/>
                <w:szCs w:val="20"/>
              </w:rPr>
              <w:t xml:space="preserve">A common complaint is being “slowed up”, and/or being tired during the day. </w:t>
            </w:r>
          </w:p>
        </w:tc>
      </w:tr>
      <w:tr w:rsidR="001322BA" w:rsidRPr="001322BA" w14:paraId="4312B385" w14:textId="77777777" w:rsidTr="001322BA">
        <w:tc>
          <w:tcPr>
            <w:tcW w:w="562" w:type="dxa"/>
          </w:tcPr>
          <w:p w14:paraId="6B7EA3D2" w14:textId="2802D161"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5</w:t>
            </w:r>
          </w:p>
        </w:tc>
        <w:tc>
          <w:tcPr>
            <w:tcW w:w="1560" w:type="dxa"/>
          </w:tcPr>
          <w:p w14:paraId="745F97A9" w14:textId="3CBB82E5"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Mildly frail</w:t>
            </w:r>
          </w:p>
        </w:tc>
        <w:tc>
          <w:tcPr>
            <w:tcW w:w="6888" w:type="dxa"/>
          </w:tcPr>
          <w:p w14:paraId="124A2FA6" w14:textId="5F445B40" w:rsidR="001322BA" w:rsidRPr="001322BA" w:rsidRDefault="001322BA" w:rsidP="001322BA">
            <w:pPr>
              <w:pStyle w:val="NormalWeb"/>
              <w:shd w:val="clear" w:color="auto" w:fill="FFFFFF"/>
              <w:rPr>
                <w:rFonts w:ascii="Arial" w:hAnsi="Arial" w:cs="Arial"/>
                <w:sz w:val="20"/>
                <w:szCs w:val="20"/>
              </w:rPr>
            </w:pPr>
            <w:r w:rsidRPr="001322BA">
              <w:rPr>
                <w:rFonts w:ascii="Arial" w:hAnsi="Arial" w:cs="Arial"/>
                <w:color w:val="333333"/>
                <w:sz w:val="20"/>
                <w:szCs w:val="20"/>
              </w:rPr>
              <w:t xml:space="preserve">These people often have </w:t>
            </w:r>
            <w:r w:rsidRPr="001322BA">
              <w:rPr>
                <w:rFonts w:ascii="Arial" w:hAnsi="Arial" w:cs="Arial"/>
                <w:sz w:val="20"/>
                <w:szCs w:val="20"/>
              </w:rPr>
              <w:t xml:space="preserve">more evident slowing, </w:t>
            </w:r>
            <w:r w:rsidRPr="001322BA">
              <w:rPr>
                <w:rFonts w:ascii="Arial" w:hAnsi="Arial" w:cs="Arial"/>
                <w:color w:val="333333"/>
                <w:sz w:val="20"/>
                <w:szCs w:val="20"/>
              </w:rPr>
              <w:t xml:space="preserve">and need help in </w:t>
            </w:r>
            <w:r w:rsidRPr="001322BA">
              <w:rPr>
                <w:rFonts w:ascii="Arial" w:hAnsi="Arial" w:cs="Arial"/>
                <w:sz w:val="20"/>
                <w:szCs w:val="20"/>
              </w:rPr>
              <w:t xml:space="preserve">high order IADLs </w:t>
            </w:r>
            <w:r w:rsidRPr="001322BA">
              <w:rPr>
                <w:rFonts w:ascii="Arial" w:hAnsi="Arial" w:cs="Arial"/>
                <w:color w:val="333333"/>
                <w:sz w:val="20"/>
                <w:szCs w:val="20"/>
              </w:rPr>
              <w:t xml:space="preserve">(finances, transportation, heavy housework, medications). Typically, mild frailty progressively impairs shopping and walking outside alone, meal preparation and housework. </w:t>
            </w:r>
          </w:p>
        </w:tc>
      </w:tr>
      <w:tr w:rsidR="001322BA" w:rsidRPr="001322BA" w14:paraId="4777F4B5" w14:textId="77777777" w:rsidTr="001322BA">
        <w:tc>
          <w:tcPr>
            <w:tcW w:w="562" w:type="dxa"/>
          </w:tcPr>
          <w:p w14:paraId="3F7DC258" w14:textId="0F2739E7"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6</w:t>
            </w:r>
          </w:p>
        </w:tc>
        <w:tc>
          <w:tcPr>
            <w:tcW w:w="1560" w:type="dxa"/>
          </w:tcPr>
          <w:p w14:paraId="56957951" w14:textId="2D3C6B91"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Moderately frail</w:t>
            </w:r>
          </w:p>
        </w:tc>
        <w:tc>
          <w:tcPr>
            <w:tcW w:w="6888" w:type="dxa"/>
          </w:tcPr>
          <w:p w14:paraId="3F5BFFFA" w14:textId="14CB788E" w:rsidR="001322BA" w:rsidRPr="001322BA" w:rsidRDefault="001322BA" w:rsidP="001322BA">
            <w:pPr>
              <w:pStyle w:val="NormalWeb"/>
              <w:shd w:val="clear" w:color="auto" w:fill="FFFFFF"/>
              <w:rPr>
                <w:rFonts w:ascii="Arial" w:hAnsi="Arial" w:cs="Arial"/>
                <w:sz w:val="20"/>
                <w:szCs w:val="20"/>
              </w:rPr>
            </w:pPr>
            <w:r w:rsidRPr="001322BA">
              <w:rPr>
                <w:rFonts w:ascii="Arial" w:hAnsi="Arial" w:cs="Arial"/>
                <w:color w:val="333333"/>
                <w:sz w:val="20"/>
                <w:szCs w:val="20"/>
              </w:rPr>
              <w:t xml:space="preserve">People need help with </w:t>
            </w:r>
            <w:r w:rsidRPr="001322BA">
              <w:rPr>
                <w:rFonts w:ascii="Arial" w:hAnsi="Arial" w:cs="Arial"/>
                <w:sz w:val="20"/>
                <w:szCs w:val="20"/>
              </w:rPr>
              <w:t xml:space="preserve">all outside activities </w:t>
            </w:r>
            <w:r w:rsidRPr="001322BA">
              <w:rPr>
                <w:rFonts w:ascii="Arial" w:hAnsi="Arial" w:cs="Arial"/>
                <w:color w:val="333333"/>
                <w:sz w:val="20"/>
                <w:szCs w:val="20"/>
              </w:rPr>
              <w:t xml:space="preserve">and with </w:t>
            </w:r>
            <w:r w:rsidRPr="001322BA">
              <w:rPr>
                <w:rFonts w:ascii="Arial" w:hAnsi="Arial" w:cs="Arial"/>
                <w:sz w:val="20"/>
                <w:szCs w:val="20"/>
              </w:rPr>
              <w:t>keeping house</w:t>
            </w:r>
            <w:r w:rsidRPr="001322BA">
              <w:rPr>
                <w:rFonts w:ascii="Arial" w:hAnsi="Arial" w:cs="Arial"/>
                <w:color w:val="333333"/>
                <w:sz w:val="20"/>
                <w:szCs w:val="20"/>
              </w:rPr>
              <w:t xml:space="preserve">. Inside, they often have problems with stairs and need </w:t>
            </w:r>
            <w:r w:rsidRPr="001322BA">
              <w:rPr>
                <w:rFonts w:ascii="Arial" w:hAnsi="Arial" w:cs="Arial"/>
                <w:sz w:val="20"/>
                <w:szCs w:val="20"/>
              </w:rPr>
              <w:t xml:space="preserve">help with bathing </w:t>
            </w:r>
            <w:r w:rsidRPr="001322BA">
              <w:rPr>
                <w:rFonts w:ascii="Arial" w:hAnsi="Arial" w:cs="Arial"/>
                <w:color w:val="333333"/>
                <w:sz w:val="20"/>
                <w:szCs w:val="20"/>
              </w:rPr>
              <w:t xml:space="preserve">and might need minimal assistance (cuing, standby) with dressing. </w:t>
            </w:r>
          </w:p>
        </w:tc>
      </w:tr>
      <w:tr w:rsidR="001322BA" w:rsidRPr="001322BA" w14:paraId="3AB701D6" w14:textId="77777777" w:rsidTr="001322BA">
        <w:tc>
          <w:tcPr>
            <w:tcW w:w="562" w:type="dxa"/>
          </w:tcPr>
          <w:p w14:paraId="5FF3AA41" w14:textId="6EE50737"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7</w:t>
            </w:r>
          </w:p>
        </w:tc>
        <w:tc>
          <w:tcPr>
            <w:tcW w:w="1560" w:type="dxa"/>
          </w:tcPr>
          <w:p w14:paraId="21D76C09" w14:textId="5A474EB6"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Severely frail</w:t>
            </w:r>
          </w:p>
        </w:tc>
        <w:tc>
          <w:tcPr>
            <w:tcW w:w="6888" w:type="dxa"/>
          </w:tcPr>
          <w:p w14:paraId="605868BD" w14:textId="464911FE" w:rsidR="001322BA" w:rsidRPr="001322BA" w:rsidRDefault="001322BA" w:rsidP="001322BA">
            <w:pPr>
              <w:pStyle w:val="NormalWeb"/>
              <w:rPr>
                <w:rFonts w:ascii="Arial" w:hAnsi="Arial" w:cs="Arial"/>
                <w:sz w:val="20"/>
                <w:szCs w:val="20"/>
              </w:rPr>
            </w:pPr>
            <w:r w:rsidRPr="001322BA">
              <w:rPr>
                <w:rFonts w:ascii="Arial" w:hAnsi="Arial" w:cs="Arial"/>
                <w:sz w:val="20"/>
                <w:szCs w:val="20"/>
              </w:rPr>
              <w:t>Completely dependent for personal care</w:t>
            </w:r>
            <w:r w:rsidRPr="001322BA">
              <w:rPr>
                <w:rFonts w:ascii="Arial" w:hAnsi="Arial" w:cs="Arial"/>
                <w:color w:val="333333"/>
                <w:sz w:val="20"/>
                <w:szCs w:val="20"/>
              </w:rPr>
              <w:t xml:space="preserve">, from whatever cause (physical or cognitive). Even so, they seem stable and not at high risk of dying (within ~ 6 months). </w:t>
            </w:r>
          </w:p>
        </w:tc>
      </w:tr>
      <w:tr w:rsidR="001322BA" w:rsidRPr="001322BA" w14:paraId="53D850DB" w14:textId="77777777" w:rsidTr="001322BA">
        <w:tc>
          <w:tcPr>
            <w:tcW w:w="562" w:type="dxa"/>
          </w:tcPr>
          <w:p w14:paraId="26941C41" w14:textId="1A8DE458"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8</w:t>
            </w:r>
          </w:p>
        </w:tc>
        <w:tc>
          <w:tcPr>
            <w:tcW w:w="1560" w:type="dxa"/>
          </w:tcPr>
          <w:p w14:paraId="1B0CBF69" w14:textId="759202ED"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Very severely frail</w:t>
            </w:r>
          </w:p>
        </w:tc>
        <w:tc>
          <w:tcPr>
            <w:tcW w:w="6888" w:type="dxa"/>
          </w:tcPr>
          <w:p w14:paraId="5317D1CC" w14:textId="4DC397B0" w:rsidR="001322BA" w:rsidRPr="001322BA" w:rsidRDefault="001322BA" w:rsidP="001322BA">
            <w:pPr>
              <w:pStyle w:val="NormalWeb"/>
              <w:rPr>
                <w:rFonts w:ascii="Arial" w:hAnsi="Arial" w:cs="Arial"/>
                <w:sz w:val="20"/>
                <w:szCs w:val="20"/>
              </w:rPr>
            </w:pPr>
            <w:r w:rsidRPr="001322BA">
              <w:rPr>
                <w:rFonts w:ascii="Arial" w:hAnsi="Arial" w:cs="Arial"/>
                <w:color w:val="333333"/>
                <w:sz w:val="20"/>
                <w:szCs w:val="20"/>
              </w:rPr>
              <w:t>Completely dependent, approaching the end of life.</w:t>
            </w:r>
            <w:r w:rsidR="00173B44">
              <w:rPr>
                <w:rFonts w:ascii="Arial" w:hAnsi="Arial" w:cs="Arial"/>
                <w:color w:val="333333"/>
                <w:sz w:val="20"/>
                <w:szCs w:val="20"/>
              </w:rPr>
              <w:t xml:space="preserve"> </w:t>
            </w:r>
            <w:proofErr w:type="gramStart"/>
            <w:r w:rsidRPr="001322BA">
              <w:rPr>
                <w:rFonts w:ascii="Arial" w:hAnsi="Arial" w:cs="Arial"/>
                <w:color w:val="333333"/>
                <w:sz w:val="20"/>
                <w:szCs w:val="20"/>
              </w:rPr>
              <w:t>Typically</w:t>
            </w:r>
            <w:proofErr w:type="gramEnd"/>
            <w:r w:rsidRPr="001322BA">
              <w:rPr>
                <w:rFonts w:ascii="Arial" w:hAnsi="Arial" w:cs="Arial"/>
                <w:color w:val="333333"/>
                <w:sz w:val="20"/>
                <w:szCs w:val="20"/>
              </w:rPr>
              <w:t xml:space="preserve">, they could not recover even from a minor illness. </w:t>
            </w:r>
          </w:p>
        </w:tc>
      </w:tr>
      <w:tr w:rsidR="001322BA" w:rsidRPr="001322BA" w14:paraId="380582B8" w14:textId="77777777" w:rsidTr="001322BA">
        <w:tc>
          <w:tcPr>
            <w:tcW w:w="562" w:type="dxa"/>
          </w:tcPr>
          <w:p w14:paraId="33C3D63C" w14:textId="507DD318" w:rsidR="001322BA" w:rsidRPr="001322BA" w:rsidRDefault="001322BA" w:rsidP="00EA15EB">
            <w:pPr>
              <w:spacing w:line="360" w:lineRule="auto"/>
              <w:rPr>
                <w:rFonts w:ascii="Arial" w:hAnsi="Arial" w:cs="Arial"/>
                <w:bCs/>
                <w:color w:val="000000" w:themeColor="text1"/>
                <w:sz w:val="20"/>
                <w:szCs w:val="20"/>
              </w:rPr>
            </w:pPr>
            <w:r w:rsidRPr="001322BA">
              <w:rPr>
                <w:rFonts w:ascii="Arial" w:hAnsi="Arial" w:cs="Arial"/>
                <w:bCs/>
                <w:color w:val="000000" w:themeColor="text1"/>
                <w:sz w:val="20"/>
                <w:szCs w:val="20"/>
              </w:rPr>
              <w:t>9</w:t>
            </w:r>
          </w:p>
        </w:tc>
        <w:tc>
          <w:tcPr>
            <w:tcW w:w="1560" w:type="dxa"/>
          </w:tcPr>
          <w:p w14:paraId="7AFE8812" w14:textId="74B3F650" w:rsidR="001322BA" w:rsidRPr="001322BA" w:rsidRDefault="00173B44" w:rsidP="00EA15EB">
            <w:pPr>
              <w:spacing w:line="360" w:lineRule="auto"/>
              <w:rPr>
                <w:rFonts w:ascii="Arial" w:hAnsi="Arial" w:cs="Arial"/>
                <w:bCs/>
                <w:color w:val="000000" w:themeColor="text1"/>
                <w:sz w:val="20"/>
                <w:szCs w:val="20"/>
              </w:rPr>
            </w:pPr>
            <w:r>
              <w:rPr>
                <w:rFonts w:ascii="Arial" w:hAnsi="Arial" w:cs="Arial"/>
                <w:bCs/>
                <w:color w:val="000000" w:themeColor="text1"/>
                <w:sz w:val="20"/>
                <w:szCs w:val="20"/>
              </w:rPr>
              <w:t>Terminally ill</w:t>
            </w:r>
          </w:p>
        </w:tc>
        <w:tc>
          <w:tcPr>
            <w:tcW w:w="6888" w:type="dxa"/>
          </w:tcPr>
          <w:p w14:paraId="11B7174C" w14:textId="639F2241" w:rsidR="001322BA" w:rsidRPr="001322BA" w:rsidRDefault="001322BA" w:rsidP="001322BA">
            <w:pPr>
              <w:pStyle w:val="NormalWeb"/>
              <w:rPr>
                <w:rFonts w:ascii="Arial" w:hAnsi="Arial" w:cs="Arial"/>
                <w:sz w:val="20"/>
                <w:szCs w:val="20"/>
              </w:rPr>
            </w:pPr>
            <w:r w:rsidRPr="001322BA">
              <w:rPr>
                <w:rFonts w:ascii="Arial" w:hAnsi="Arial" w:cs="Arial"/>
                <w:color w:val="333333"/>
                <w:sz w:val="20"/>
                <w:szCs w:val="20"/>
              </w:rPr>
              <w:t>Approaching the end of life.</w:t>
            </w:r>
            <w:r w:rsidR="00173B44">
              <w:rPr>
                <w:rFonts w:ascii="Arial" w:hAnsi="Arial" w:cs="Arial"/>
                <w:color w:val="333333"/>
                <w:sz w:val="20"/>
                <w:szCs w:val="20"/>
              </w:rPr>
              <w:t xml:space="preserve"> </w:t>
            </w:r>
            <w:proofErr w:type="gramStart"/>
            <w:r w:rsidRPr="001322BA">
              <w:rPr>
                <w:rFonts w:ascii="Arial" w:hAnsi="Arial" w:cs="Arial"/>
                <w:color w:val="333333"/>
                <w:sz w:val="20"/>
                <w:szCs w:val="20"/>
              </w:rPr>
              <w:t>This</w:t>
            </w:r>
            <w:proofErr w:type="gramEnd"/>
            <w:r w:rsidRPr="001322BA">
              <w:rPr>
                <w:rFonts w:ascii="Arial" w:hAnsi="Arial" w:cs="Arial"/>
                <w:color w:val="333333"/>
                <w:sz w:val="20"/>
                <w:szCs w:val="20"/>
              </w:rPr>
              <w:t xml:space="preserve"> category applies to people with </w:t>
            </w:r>
            <w:r w:rsidRPr="001322BA">
              <w:rPr>
                <w:rFonts w:ascii="Arial" w:hAnsi="Arial" w:cs="Arial"/>
                <w:sz w:val="20"/>
                <w:szCs w:val="20"/>
              </w:rPr>
              <w:t>a life expectancy &lt;6 months</w:t>
            </w:r>
            <w:r w:rsidRPr="001322BA">
              <w:rPr>
                <w:rFonts w:ascii="Arial" w:hAnsi="Arial" w:cs="Arial"/>
                <w:color w:val="333333"/>
                <w:sz w:val="20"/>
                <w:szCs w:val="20"/>
              </w:rPr>
              <w:t xml:space="preserve">, who are </w:t>
            </w:r>
            <w:r w:rsidRPr="001322BA">
              <w:rPr>
                <w:rFonts w:ascii="Arial" w:hAnsi="Arial" w:cs="Arial"/>
                <w:sz w:val="20"/>
                <w:szCs w:val="20"/>
              </w:rPr>
              <w:t xml:space="preserve">not otherwise evidently frail. </w:t>
            </w:r>
          </w:p>
        </w:tc>
      </w:tr>
    </w:tbl>
    <w:p w14:paraId="01A399AC" w14:textId="77777777" w:rsidR="001322BA" w:rsidRPr="001322BA" w:rsidRDefault="001322BA" w:rsidP="00EA15EB">
      <w:pPr>
        <w:pBdr>
          <w:top w:val="nil"/>
          <w:left w:val="nil"/>
          <w:bottom w:val="nil"/>
          <w:right w:val="nil"/>
          <w:between w:val="nil"/>
        </w:pBdr>
        <w:spacing w:line="360" w:lineRule="auto"/>
        <w:rPr>
          <w:rFonts w:ascii="Arial" w:hAnsi="Arial" w:cs="Arial"/>
          <w:bCs/>
          <w:color w:val="000000" w:themeColor="text1"/>
          <w:sz w:val="22"/>
          <w:szCs w:val="22"/>
        </w:rPr>
      </w:pPr>
    </w:p>
    <w:p w14:paraId="67AEF7D9" w14:textId="77777777" w:rsidR="001322BA" w:rsidRDefault="001322BA" w:rsidP="00EA15EB">
      <w:pPr>
        <w:pBdr>
          <w:top w:val="nil"/>
          <w:left w:val="nil"/>
          <w:bottom w:val="nil"/>
          <w:right w:val="nil"/>
          <w:between w:val="nil"/>
        </w:pBdr>
        <w:spacing w:line="360" w:lineRule="auto"/>
        <w:rPr>
          <w:rFonts w:ascii="Arial" w:hAnsi="Arial" w:cs="Arial"/>
          <w:b/>
          <w:color w:val="000000" w:themeColor="text1"/>
          <w:sz w:val="22"/>
          <w:szCs w:val="22"/>
        </w:rPr>
      </w:pPr>
    </w:p>
    <w:p w14:paraId="1639572C" w14:textId="77777777" w:rsidR="001322BA" w:rsidRPr="00EA15EB" w:rsidRDefault="001322BA" w:rsidP="00EA15EB">
      <w:pPr>
        <w:pBdr>
          <w:top w:val="nil"/>
          <w:left w:val="nil"/>
          <w:bottom w:val="nil"/>
          <w:right w:val="nil"/>
          <w:between w:val="nil"/>
        </w:pBdr>
        <w:spacing w:line="360" w:lineRule="auto"/>
        <w:rPr>
          <w:rFonts w:ascii="Arial" w:hAnsi="Arial" w:cs="Arial"/>
          <w:b/>
          <w:color w:val="000000" w:themeColor="text1"/>
          <w:sz w:val="22"/>
          <w:szCs w:val="22"/>
        </w:rPr>
      </w:pPr>
    </w:p>
    <w:p w14:paraId="72E476EC" w14:textId="1BCAB129" w:rsidR="00EA15EB" w:rsidRPr="00EA15EB" w:rsidRDefault="00EA15EB" w:rsidP="00EA15EB">
      <w:pPr>
        <w:spacing w:line="360" w:lineRule="auto"/>
        <w:jc w:val="center"/>
        <w:rPr>
          <w:rFonts w:ascii="Arial" w:hAnsi="Arial" w:cs="Arial"/>
          <w:sz w:val="22"/>
          <w:szCs w:val="22"/>
        </w:rPr>
      </w:pPr>
    </w:p>
    <w:p w14:paraId="1209CF37" w14:textId="4E0B101A" w:rsidR="00EA15EB" w:rsidRPr="00EA15EB" w:rsidRDefault="00EA15EB" w:rsidP="00EA15EB">
      <w:pPr>
        <w:rPr>
          <w:rFonts w:ascii="Arial" w:hAnsi="Arial" w:cs="Arial"/>
          <w:sz w:val="22"/>
          <w:szCs w:val="22"/>
        </w:rPr>
      </w:pPr>
    </w:p>
    <w:sectPr w:rsidR="00EA15EB" w:rsidRPr="00EA15EB" w:rsidSect="00A30C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0767"/>
    <w:multiLevelType w:val="multilevel"/>
    <w:tmpl w:val="7BF25A52"/>
    <w:lvl w:ilvl="0">
      <w:start w:val="1"/>
      <w:numFmt w:val="upperLetter"/>
      <w:lvlText w:val="%1."/>
      <w:lvlJc w:val="left"/>
      <w:pPr>
        <w:ind w:left="360" w:hanging="360"/>
      </w:pPr>
      <w:rPr>
        <w:b/>
        <w:color w:val="0070C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5E6251"/>
    <w:multiLevelType w:val="multilevel"/>
    <w:tmpl w:val="FDE01B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2FC45DC"/>
    <w:multiLevelType w:val="multilevel"/>
    <w:tmpl w:val="B88C5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466E6"/>
    <w:multiLevelType w:val="hybridMultilevel"/>
    <w:tmpl w:val="A94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B52A5"/>
    <w:multiLevelType w:val="hybridMultilevel"/>
    <w:tmpl w:val="8E4C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527CF"/>
    <w:multiLevelType w:val="hybridMultilevel"/>
    <w:tmpl w:val="EAE6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C09C3"/>
    <w:multiLevelType w:val="multilevel"/>
    <w:tmpl w:val="820C9AD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CD23930"/>
    <w:multiLevelType w:val="multilevel"/>
    <w:tmpl w:val="2D94D12E"/>
    <w:lvl w:ilvl="0">
      <w:start w:val="1"/>
      <w:numFmt w:val="bullet"/>
      <w:lvlText w:val="●"/>
      <w:lvlJc w:val="left"/>
      <w:pPr>
        <w:ind w:left="1080" w:hanging="360"/>
      </w:pPr>
      <w:rPr>
        <w:rFonts w:ascii="Noto Sans Symbols" w:eastAsia="Noto Sans Symbols" w:hAnsi="Noto Sans Symbols" w:cs="Noto Sans Symbols"/>
        <w:color w:val="000000"/>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4735353"/>
    <w:multiLevelType w:val="multilevel"/>
    <w:tmpl w:val="C472BD9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 w15:restartNumberingAfterBreak="0">
    <w:nsid w:val="67950652"/>
    <w:multiLevelType w:val="multilevel"/>
    <w:tmpl w:val="2A740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F24761"/>
    <w:multiLevelType w:val="multilevel"/>
    <w:tmpl w:val="476EA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85778A1"/>
    <w:multiLevelType w:val="multilevel"/>
    <w:tmpl w:val="2FC291D2"/>
    <w:lvl w:ilvl="0">
      <w:start w:val="1"/>
      <w:numFmt w:val="decimal"/>
      <w:lvlText w:val="%1."/>
      <w:lvlJc w:val="left"/>
      <w:pPr>
        <w:ind w:left="360" w:hanging="360"/>
      </w:pPr>
      <w:rPr>
        <w:b w:val="0"/>
        <w:u w:val="none"/>
      </w:rPr>
    </w:lvl>
    <w:lvl w:ilvl="1">
      <w:start w:val="1"/>
      <w:numFmt w:val="lowerLetter"/>
      <w:lvlText w:val="%2."/>
      <w:lvlJc w:val="left"/>
      <w:pPr>
        <w:ind w:left="78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9613884">
    <w:abstractNumId w:val="10"/>
  </w:num>
  <w:num w:numId="2" w16cid:durableId="1826973753">
    <w:abstractNumId w:val="7"/>
  </w:num>
  <w:num w:numId="3" w16cid:durableId="398553083">
    <w:abstractNumId w:val="11"/>
  </w:num>
  <w:num w:numId="4" w16cid:durableId="1568609895">
    <w:abstractNumId w:val="0"/>
  </w:num>
  <w:num w:numId="5" w16cid:durableId="910315280">
    <w:abstractNumId w:val="6"/>
  </w:num>
  <w:num w:numId="6" w16cid:durableId="1340810686">
    <w:abstractNumId w:val="8"/>
  </w:num>
  <w:num w:numId="7" w16cid:durableId="1885367990">
    <w:abstractNumId w:val="1"/>
  </w:num>
  <w:num w:numId="8" w16cid:durableId="1152137412">
    <w:abstractNumId w:val="2"/>
  </w:num>
  <w:num w:numId="9" w16cid:durableId="281960392">
    <w:abstractNumId w:val="9"/>
  </w:num>
  <w:num w:numId="10" w16cid:durableId="121774186">
    <w:abstractNumId w:val="5"/>
  </w:num>
  <w:num w:numId="11" w16cid:durableId="923343223">
    <w:abstractNumId w:val="3"/>
  </w:num>
  <w:num w:numId="12" w16cid:durableId="1183937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D1"/>
    <w:rsid w:val="00094B8B"/>
    <w:rsid w:val="00094EC0"/>
    <w:rsid w:val="000A50E8"/>
    <w:rsid w:val="000C173F"/>
    <w:rsid w:val="000D008C"/>
    <w:rsid w:val="001322BA"/>
    <w:rsid w:val="00147A6C"/>
    <w:rsid w:val="00173B44"/>
    <w:rsid w:val="00173D73"/>
    <w:rsid w:val="001A6966"/>
    <w:rsid w:val="00240823"/>
    <w:rsid w:val="00247DB9"/>
    <w:rsid w:val="00260879"/>
    <w:rsid w:val="00266673"/>
    <w:rsid w:val="002C3EA7"/>
    <w:rsid w:val="002E1C48"/>
    <w:rsid w:val="003F7936"/>
    <w:rsid w:val="00443D7C"/>
    <w:rsid w:val="00475EFC"/>
    <w:rsid w:val="0050356E"/>
    <w:rsid w:val="00576E20"/>
    <w:rsid w:val="00595A19"/>
    <w:rsid w:val="005B2EE4"/>
    <w:rsid w:val="006164BB"/>
    <w:rsid w:val="00635BFB"/>
    <w:rsid w:val="00782573"/>
    <w:rsid w:val="00797CF7"/>
    <w:rsid w:val="0086079E"/>
    <w:rsid w:val="00890156"/>
    <w:rsid w:val="008A0C0C"/>
    <w:rsid w:val="00900140"/>
    <w:rsid w:val="0098467B"/>
    <w:rsid w:val="009970CC"/>
    <w:rsid w:val="00A30CFC"/>
    <w:rsid w:val="00AD39CE"/>
    <w:rsid w:val="00B26767"/>
    <w:rsid w:val="00B77EAB"/>
    <w:rsid w:val="00BB44D1"/>
    <w:rsid w:val="00BD32ED"/>
    <w:rsid w:val="00C04004"/>
    <w:rsid w:val="00C45FC4"/>
    <w:rsid w:val="00CC0CCE"/>
    <w:rsid w:val="00CC66D9"/>
    <w:rsid w:val="00CF1860"/>
    <w:rsid w:val="00D35038"/>
    <w:rsid w:val="00DF18AF"/>
    <w:rsid w:val="00E64FD3"/>
    <w:rsid w:val="00EA15EB"/>
    <w:rsid w:val="00F71E13"/>
    <w:rsid w:val="00FF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6787"/>
  <w15:chartTrackingRefBased/>
  <w15:docId w15:val="{E6C94032-8F25-7143-9ACA-B1F1733A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4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4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4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4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4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4D1"/>
    <w:rPr>
      <w:rFonts w:eastAsiaTheme="majorEastAsia" w:cstheme="majorBidi"/>
      <w:color w:val="272727" w:themeColor="text1" w:themeTint="D8"/>
    </w:rPr>
  </w:style>
  <w:style w:type="paragraph" w:styleId="Title">
    <w:name w:val="Title"/>
    <w:basedOn w:val="Normal"/>
    <w:next w:val="Normal"/>
    <w:link w:val="TitleChar"/>
    <w:uiPriority w:val="10"/>
    <w:qFormat/>
    <w:rsid w:val="00BB44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4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4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44D1"/>
    <w:rPr>
      <w:i/>
      <w:iCs/>
      <w:color w:val="404040" w:themeColor="text1" w:themeTint="BF"/>
    </w:rPr>
  </w:style>
  <w:style w:type="paragraph" w:styleId="ListParagraph">
    <w:name w:val="List Paragraph"/>
    <w:basedOn w:val="Normal"/>
    <w:uiPriority w:val="34"/>
    <w:qFormat/>
    <w:rsid w:val="00BB44D1"/>
    <w:pPr>
      <w:ind w:left="720"/>
      <w:contextualSpacing/>
    </w:pPr>
  </w:style>
  <w:style w:type="character" w:styleId="IntenseEmphasis">
    <w:name w:val="Intense Emphasis"/>
    <w:basedOn w:val="DefaultParagraphFont"/>
    <w:uiPriority w:val="21"/>
    <w:qFormat/>
    <w:rsid w:val="00BB44D1"/>
    <w:rPr>
      <w:i/>
      <w:iCs/>
      <w:color w:val="0F4761" w:themeColor="accent1" w:themeShade="BF"/>
    </w:rPr>
  </w:style>
  <w:style w:type="paragraph" w:styleId="IntenseQuote">
    <w:name w:val="Intense Quote"/>
    <w:basedOn w:val="Normal"/>
    <w:next w:val="Normal"/>
    <w:link w:val="IntenseQuoteChar"/>
    <w:uiPriority w:val="30"/>
    <w:qFormat/>
    <w:rsid w:val="00BB4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4D1"/>
    <w:rPr>
      <w:i/>
      <w:iCs/>
      <w:color w:val="0F4761" w:themeColor="accent1" w:themeShade="BF"/>
    </w:rPr>
  </w:style>
  <w:style w:type="character" w:styleId="IntenseReference">
    <w:name w:val="Intense Reference"/>
    <w:basedOn w:val="DefaultParagraphFont"/>
    <w:uiPriority w:val="32"/>
    <w:qFormat/>
    <w:rsid w:val="00BB44D1"/>
    <w:rPr>
      <w:b/>
      <w:bCs/>
      <w:smallCaps/>
      <w:color w:val="0F4761" w:themeColor="accent1" w:themeShade="BF"/>
      <w:spacing w:val="5"/>
    </w:rPr>
  </w:style>
  <w:style w:type="table" w:styleId="TableGridLight">
    <w:name w:val="Grid Table Light"/>
    <w:basedOn w:val="TableNormal"/>
    <w:uiPriority w:val="40"/>
    <w:rsid w:val="00BB44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B44D1"/>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EA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8369">
      <w:bodyDiv w:val="1"/>
      <w:marLeft w:val="0"/>
      <w:marRight w:val="0"/>
      <w:marTop w:val="0"/>
      <w:marBottom w:val="0"/>
      <w:divBdr>
        <w:top w:val="none" w:sz="0" w:space="0" w:color="auto"/>
        <w:left w:val="none" w:sz="0" w:space="0" w:color="auto"/>
        <w:bottom w:val="none" w:sz="0" w:space="0" w:color="auto"/>
        <w:right w:val="none" w:sz="0" w:space="0" w:color="auto"/>
      </w:divBdr>
      <w:divsChild>
        <w:div w:id="149030432">
          <w:marLeft w:val="0"/>
          <w:marRight w:val="0"/>
          <w:marTop w:val="0"/>
          <w:marBottom w:val="0"/>
          <w:divBdr>
            <w:top w:val="none" w:sz="0" w:space="0" w:color="auto"/>
            <w:left w:val="none" w:sz="0" w:space="0" w:color="auto"/>
            <w:bottom w:val="none" w:sz="0" w:space="0" w:color="auto"/>
            <w:right w:val="none" w:sz="0" w:space="0" w:color="auto"/>
          </w:divBdr>
          <w:divsChild>
            <w:div w:id="1193878180">
              <w:marLeft w:val="0"/>
              <w:marRight w:val="0"/>
              <w:marTop w:val="0"/>
              <w:marBottom w:val="0"/>
              <w:divBdr>
                <w:top w:val="none" w:sz="0" w:space="0" w:color="auto"/>
                <w:left w:val="none" w:sz="0" w:space="0" w:color="auto"/>
                <w:bottom w:val="none" w:sz="0" w:space="0" w:color="auto"/>
                <w:right w:val="none" w:sz="0" w:space="0" w:color="auto"/>
              </w:divBdr>
              <w:divsChild>
                <w:div w:id="1599363507">
                  <w:marLeft w:val="0"/>
                  <w:marRight w:val="0"/>
                  <w:marTop w:val="0"/>
                  <w:marBottom w:val="0"/>
                  <w:divBdr>
                    <w:top w:val="none" w:sz="0" w:space="0" w:color="auto"/>
                    <w:left w:val="none" w:sz="0" w:space="0" w:color="auto"/>
                    <w:bottom w:val="none" w:sz="0" w:space="0" w:color="auto"/>
                    <w:right w:val="none" w:sz="0" w:space="0" w:color="auto"/>
                  </w:divBdr>
                  <w:divsChild>
                    <w:div w:id="4000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5868">
      <w:bodyDiv w:val="1"/>
      <w:marLeft w:val="0"/>
      <w:marRight w:val="0"/>
      <w:marTop w:val="0"/>
      <w:marBottom w:val="0"/>
      <w:divBdr>
        <w:top w:val="none" w:sz="0" w:space="0" w:color="auto"/>
        <w:left w:val="none" w:sz="0" w:space="0" w:color="auto"/>
        <w:bottom w:val="none" w:sz="0" w:space="0" w:color="auto"/>
        <w:right w:val="none" w:sz="0" w:space="0" w:color="auto"/>
      </w:divBdr>
      <w:divsChild>
        <w:div w:id="1160000285">
          <w:marLeft w:val="0"/>
          <w:marRight w:val="0"/>
          <w:marTop w:val="0"/>
          <w:marBottom w:val="0"/>
          <w:divBdr>
            <w:top w:val="none" w:sz="0" w:space="0" w:color="auto"/>
            <w:left w:val="none" w:sz="0" w:space="0" w:color="auto"/>
            <w:bottom w:val="none" w:sz="0" w:space="0" w:color="auto"/>
            <w:right w:val="none" w:sz="0" w:space="0" w:color="auto"/>
          </w:divBdr>
          <w:divsChild>
            <w:div w:id="1050153984">
              <w:marLeft w:val="0"/>
              <w:marRight w:val="0"/>
              <w:marTop w:val="0"/>
              <w:marBottom w:val="0"/>
              <w:divBdr>
                <w:top w:val="none" w:sz="0" w:space="0" w:color="auto"/>
                <w:left w:val="none" w:sz="0" w:space="0" w:color="auto"/>
                <w:bottom w:val="none" w:sz="0" w:space="0" w:color="auto"/>
                <w:right w:val="none" w:sz="0" w:space="0" w:color="auto"/>
              </w:divBdr>
              <w:divsChild>
                <w:div w:id="1798134692">
                  <w:marLeft w:val="0"/>
                  <w:marRight w:val="0"/>
                  <w:marTop w:val="0"/>
                  <w:marBottom w:val="0"/>
                  <w:divBdr>
                    <w:top w:val="none" w:sz="0" w:space="0" w:color="auto"/>
                    <w:left w:val="none" w:sz="0" w:space="0" w:color="auto"/>
                    <w:bottom w:val="none" w:sz="0" w:space="0" w:color="auto"/>
                    <w:right w:val="none" w:sz="0" w:space="0" w:color="auto"/>
                  </w:divBdr>
                  <w:divsChild>
                    <w:div w:id="4798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7071">
      <w:bodyDiv w:val="1"/>
      <w:marLeft w:val="0"/>
      <w:marRight w:val="0"/>
      <w:marTop w:val="0"/>
      <w:marBottom w:val="0"/>
      <w:divBdr>
        <w:top w:val="none" w:sz="0" w:space="0" w:color="auto"/>
        <w:left w:val="none" w:sz="0" w:space="0" w:color="auto"/>
        <w:bottom w:val="none" w:sz="0" w:space="0" w:color="auto"/>
        <w:right w:val="none" w:sz="0" w:space="0" w:color="auto"/>
      </w:divBdr>
      <w:divsChild>
        <w:div w:id="972753354">
          <w:marLeft w:val="0"/>
          <w:marRight w:val="0"/>
          <w:marTop w:val="0"/>
          <w:marBottom w:val="0"/>
          <w:divBdr>
            <w:top w:val="none" w:sz="0" w:space="0" w:color="auto"/>
            <w:left w:val="none" w:sz="0" w:space="0" w:color="auto"/>
            <w:bottom w:val="none" w:sz="0" w:space="0" w:color="auto"/>
            <w:right w:val="none" w:sz="0" w:space="0" w:color="auto"/>
          </w:divBdr>
          <w:divsChild>
            <w:div w:id="281033904">
              <w:marLeft w:val="0"/>
              <w:marRight w:val="0"/>
              <w:marTop w:val="0"/>
              <w:marBottom w:val="0"/>
              <w:divBdr>
                <w:top w:val="none" w:sz="0" w:space="0" w:color="auto"/>
                <w:left w:val="none" w:sz="0" w:space="0" w:color="auto"/>
                <w:bottom w:val="none" w:sz="0" w:space="0" w:color="auto"/>
                <w:right w:val="none" w:sz="0" w:space="0" w:color="auto"/>
              </w:divBdr>
              <w:divsChild>
                <w:div w:id="383872729">
                  <w:marLeft w:val="0"/>
                  <w:marRight w:val="0"/>
                  <w:marTop w:val="0"/>
                  <w:marBottom w:val="0"/>
                  <w:divBdr>
                    <w:top w:val="none" w:sz="0" w:space="0" w:color="auto"/>
                    <w:left w:val="none" w:sz="0" w:space="0" w:color="auto"/>
                    <w:bottom w:val="none" w:sz="0" w:space="0" w:color="auto"/>
                    <w:right w:val="none" w:sz="0" w:space="0" w:color="auto"/>
                  </w:divBdr>
                  <w:divsChild>
                    <w:div w:id="16507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6750">
      <w:bodyDiv w:val="1"/>
      <w:marLeft w:val="0"/>
      <w:marRight w:val="0"/>
      <w:marTop w:val="0"/>
      <w:marBottom w:val="0"/>
      <w:divBdr>
        <w:top w:val="none" w:sz="0" w:space="0" w:color="auto"/>
        <w:left w:val="none" w:sz="0" w:space="0" w:color="auto"/>
        <w:bottom w:val="none" w:sz="0" w:space="0" w:color="auto"/>
        <w:right w:val="none" w:sz="0" w:space="0" w:color="auto"/>
      </w:divBdr>
      <w:divsChild>
        <w:div w:id="2070880886">
          <w:marLeft w:val="0"/>
          <w:marRight w:val="0"/>
          <w:marTop w:val="0"/>
          <w:marBottom w:val="0"/>
          <w:divBdr>
            <w:top w:val="none" w:sz="0" w:space="0" w:color="auto"/>
            <w:left w:val="none" w:sz="0" w:space="0" w:color="auto"/>
            <w:bottom w:val="none" w:sz="0" w:space="0" w:color="auto"/>
            <w:right w:val="none" w:sz="0" w:space="0" w:color="auto"/>
          </w:divBdr>
          <w:divsChild>
            <w:div w:id="60293587">
              <w:marLeft w:val="0"/>
              <w:marRight w:val="0"/>
              <w:marTop w:val="0"/>
              <w:marBottom w:val="0"/>
              <w:divBdr>
                <w:top w:val="none" w:sz="0" w:space="0" w:color="auto"/>
                <w:left w:val="none" w:sz="0" w:space="0" w:color="auto"/>
                <w:bottom w:val="none" w:sz="0" w:space="0" w:color="auto"/>
                <w:right w:val="none" w:sz="0" w:space="0" w:color="auto"/>
              </w:divBdr>
              <w:divsChild>
                <w:div w:id="407729957">
                  <w:marLeft w:val="0"/>
                  <w:marRight w:val="0"/>
                  <w:marTop w:val="0"/>
                  <w:marBottom w:val="0"/>
                  <w:divBdr>
                    <w:top w:val="none" w:sz="0" w:space="0" w:color="auto"/>
                    <w:left w:val="none" w:sz="0" w:space="0" w:color="auto"/>
                    <w:bottom w:val="none" w:sz="0" w:space="0" w:color="auto"/>
                    <w:right w:val="none" w:sz="0" w:space="0" w:color="auto"/>
                  </w:divBdr>
                  <w:divsChild>
                    <w:div w:id="415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9565">
      <w:bodyDiv w:val="1"/>
      <w:marLeft w:val="0"/>
      <w:marRight w:val="0"/>
      <w:marTop w:val="0"/>
      <w:marBottom w:val="0"/>
      <w:divBdr>
        <w:top w:val="none" w:sz="0" w:space="0" w:color="auto"/>
        <w:left w:val="none" w:sz="0" w:space="0" w:color="auto"/>
        <w:bottom w:val="none" w:sz="0" w:space="0" w:color="auto"/>
        <w:right w:val="none" w:sz="0" w:space="0" w:color="auto"/>
      </w:divBdr>
      <w:divsChild>
        <w:div w:id="70125819">
          <w:marLeft w:val="0"/>
          <w:marRight w:val="0"/>
          <w:marTop w:val="0"/>
          <w:marBottom w:val="0"/>
          <w:divBdr>
            <w:top w:val="none" w:sz="0" w:space="0" w:color="auto"/>
            <w:left w:val="none" w:sz="0" w:space="0" w:color="auto"/>
            <w:bottom w:val="none" w:sz="0" w:space="0" w:color="auto"/>
            <w:right w:val="none" w:sz="0" w:space="0" w:color="auto"/>
          </w:divBdr>
          <w:divsChild>
            <w:div w:id="1688679511">
              <w:marLeft w:val="0"/>
              <w:marRight w:val="0"/>
              <w:marTop w:val="0"/>
              <w:marBottom w:val="0"/>
              <w:divBdr>
                <w:top w:val="none" w:sz="0" w:space="0" w:color="auto"/>
                <w:left w:val="none" w:sz="0" w:space="0" w:color="auto"/>
                <w:bottom w:val="none" w:sz="0" w:space="0" w:color="auto"/>
                <w:right w:val="none" w:sz="0" w:space="0" w:color="auto"/>
              </w:divBdr>
              <w:divsChild>
                <w:div w:id="878707014">
                  <w:marLeft w:val="0"/>
                  <w:marRight w:val="0"/>
                  <w:marTop w:val="0"/>
                  <w:marBottom w:val="0"/>
                  <w:divBdr>
                    <w:top w:val="none" w:sz="0" w:space="0" w:color="auto"/>
                    <w:left w:val="none" w:sz="0" w:space="0" w:color="auto"/>
                    <w:bottom w:val="none" w:sz="0" w:space="0" w:color="auto"/>
                    <w:right w:val="none" w:sz="0" w:space="0" w:color="auto"/>
                  </w:divBdr>
                  <w:divsChild>
                    <w:div w:id="21002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8409">
      <w:bodyDiv w:val="1"/>
      <w:marLeft w:val="0"/>
      <w:marRight w:val="0"/>
      <w:marTop w:val="0"/>
      <w:marBottom w:val="0"/>
      <w:divBdr>
        <w:top w:val="none" w:sz="0" w:space="0" w:color="auto"/>
        <w:left w:val="none" w:sz="0" w:space="0" w:color="auto"/>
        <w:bottom w:val="none" w:sz="0" w:space="0" w:color="auto"/>
        <w:right w:val="none" w:sz="0" w:space="0" w:color="auto"/>
      </w:divBdr>
    </w:div>
    <w:div w:id="1208637774">
      <w:bodyDiv w:val="1"/>
      <w:marLeft w:val="0"/>
      <w:marRight w:val="0"/>
      <w:marTop w:val="0"/>
      <w:marBottom w:val="0"/>
      <w:divBdr>
        <w:top w:val="none" w:sz="0" w:space="0" w:color="auto"/>
        <w:left w:val="none" w:sz="0" w:space="0" w:color="auto"/>
        <w:bottom w:val="none" w:sz="0" w:space="0" w:color="auto"/>
        <w:right w:val="none" w:sz="0" w:space="0" w:color="auto"/>
      </w:divBdr>
      <w:divsChild>
        <w:div w:id="982546369">
          <w:marLeft w:val="0"/>
          <w:marRight w:val="0"/>
          <w:marTop w:val="0"/>
          <w:marBottom w:val="0"/>
          <w:divBdr>
            <w:top w:val="none" w:sz="0" w:space="0" w:color="auto"/>
            <w:left w:val="none" w:sz="0" w:space="0" w:color="auto"/>
            <w:bottom w:val="none" w:sz="0" w:space="0" w:color="auto"/>
            <w:right w:val="none" w:sz="0" w:space="0" w:color="auto"/>
          </w:divBdr>
          <w:divsChild>
            <w:div w:id="1227765231">
              <w:marLeft w:val="0"/>
              <w:marRight w:val="0"/>
              <w:marTop w:val="0"/>
              <w:marBottom w:val="0"/>
              <w:divBdr>
                <w:top w:val="none" w:sz="0" w:space="0" w:color="auto"/>
                <w:left w:val="none" w:sz="0" w:space="0" w:color="auto"/>
                <w:bottom w:val="none" w:sz="0" w:space="0" w:color="auto"/>
                <w:right w:val="none" w:sz="0" w:space="0" w:color="auto"/>
              </w:divBdr>
              <w:divsChild>
                <w:div w:id="600840826">
                  <w:marLeft w:val="0"/>
                  <w:marRight w:val="0"/>
                  <w:marTop w:val="0"/>
                  <w:marBottom w:val="0"/>
                  <w:divBdr>
                    <w:top w:val="none" w:sz="0" w:space="0" w:color="auto"/>
                    <w:left w:val="none" w:sz="0" w:space="0" w:color="auto"/>
                    <w:bottom w:val="none" w:sz="0" w:space="0" w:color="auto"/>
                    <w:right w:val="none" w:sz="0" w:space="0" w:color="auto"/>
                  </w:divBdr>
                  <w:divsChild>
                    <w:div w:id="4650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06126">
      <w:bodyDiv w:val="1"/>
      <w:marLeft w:val="0"/>
      <w:marRight w:val="0"/>
      <w:marTop w:val="0"/>
      <w:marBottom w:val="0"/>
      <w:divBdr>
        <w:top w:val="none" w:sz="0" w:space="0" w:color="auto"/>
        <w:left w:val="none" w:sz="0" w:space="0" w:color="auto"/>
        <w:bottom w:val="none" w:sz="0" w:space="0" w:color="auto"/>
        <w:right w:val="none" w:sz="0" w:space="0" w:color="auto"/>
      </w:divBdr>
    </w:div>
    <w:div w:id="1892962899">
      <w:bodyDiv w:val="1"/>
      <w:marLeft w:val="0"/>
      <w:marRight w:val="0"/>
      <w:marTop w:val="0"/>
      <w:marBottom w:val="0"/>
      <w:divBdr>
        <w:top w:val="none" w:sz="0" w:space="0" w:color="auto"/>
        <w:left w:val="none" w:sz="0" w:space="0" w:color="auto"/>
        <w:bottom w:val="none" w:sz="0" w:space="0" w:color="auto"/>
        <w:right w:val="none" w:sz="0" w:space="0" w:color="auto"/>
      </w:divBdr>
    </w:div>
    <w:div w:id="2000385771">
      <w:bodyDiv w:val="1"/>
      <w:marLeft w:val="0"/>
      <w:marRight w:val="0"/>
      <w:marTop w:val="0"/>
      <w:marBottom w:val="0"/>
      <w:divBdr>
        <w:top w:val="none" w:sz="0" w:space="0" w:color="auto"/>
        <w:left w:val="none" w:sz="0" w:space="0" w:color="auto"/>
        <w:bottom w:val="none" w:sz="0" w:space="0" w:color="auto"/>
        <w:right w:val="none" w:sz="0" w:space="0" w:color="auto"/>
      </w:divBdr>
      <w:divsChild>
        <w:div w:id="1982148070">
          <w:marLeft w:val="0"/>
          <w:marRight w:val="0"/>
          <w:marTop w:val="0"/>
          <w:marBottom w:val="0"/>
          <w:divBdr>
            <w:top w:val="none" w:sz="0" w:space="0" w:color="auto"/>
            <w:left w:val="none" w:sz="0" w:space="0" w:color="auto"/>
            <w:bottom w:val="none" w:sz="0" w:space="0" w:color="auto"/>
            <w:right w:val="none" w:sz="0" w:space="0" w:color="auto"/>
          </w:divBdr>
          <w:divsChild>
            <w:div w:id="72289471">
              <w:marLeft w:val="0"/>
              <w:marRight w:val="0"/>
              <w:marTop w:val="0"/>
              <w:marBottom w:val="0"/>
              <w:divBdr>
                <w:top w:val="none" w:sz="0" w:space="0" w:color="auto"/>
                <w:left w:val="none" w:sz="0" w:space="0" w:color="auto"/>
                <w:bottom w:val="none" w:sz="0" w:space="0" w:color="auto"/>
                <w:right w:val="none" w:sz="0" w:space="0" w:color="auto"/>
              </w:divBdr>
              <w:divsChild>
                <w:div w:id="1879969796">
                  <w:marLeft w:val="0"/>
                  <w:marRight w:val="0"/>
                  <w:marTop w:val="0"/>
                  <w:marBottom w:val="0"/>
                  <w:divBdr>
                    <w:top w:val="none" w:sz="0" w:space="0" w:color="auto"/>
                    <w:left w:val="none" w:sz="0" w:space="0" w:color="auto"/>
                    <w:bottom w:val="none" w:sz="0" w:space="0" w:color="auto"/>
                    <w:right w:val="none" w:sz="0" w:space="0" w:color="auto"/>
                  </w:divBdr>
                  <w:divsChild>
                    <w:div w:id="43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68999">
      <w:bodyDiv w:val="1"/>
      <w:marLeft w:val="0"/>
      <w:marRight w:val="0"/>
      <w:marTop w:val="0"/>
      <w:marBottom w:val="0"/>
      <w:divBdr>
        <w:top w:val="none" w:sz="0" w:space="0" w:color="auto"/>
        <w:left w:val="none" w:sz="0" w:space="0" w:color="auto"/>
        <w:bottom w:val="none" w:sz="0" w:space="0" w:color="auto"/>
        <w:right w:val="none" w:sz="0" w:space="0" w:color="auto"/>
      </w:divBdr>
      <w:divsChild>
        <w:div w:id="509221436">
          <w:marLeft w:val="0"/>
          <w:marRight w:val="0"/>
          <w:marTop w:val="0"/>
          <w:marBottom w:val="0"/>
          <w:divBdr>
            <w:top w:val="none" w:sz="0" w:space="0" w:color="auto"/>
            <w:left w:val="none" w:sz="0" w:space="0" w:color="auto"/>
            <w:bottom w:val="none" w:sz="0" w:space="0" w:color="auto"/>
            <w:right w:val="none" w:sz="0" w:space="0" w:color="auto"/>
          </w:divBdr>
          <w:divsChild>
            <w:div w:id="1240285609">
              <w:marLeft w:val="0"/>
              <w:marRight w:val="0"/>
              <w:marTop w:val="0"/>
              <w:marBottom w:val="0"/>
              <w:divBdr>
                <w:top w:val="none" w:sz="0" w:space="0" w:color="auto"/>
                <w:left w:val="none" w:sz="0" w:space="0" w:color="auto"/>
                <w:bottom w:val="none" w:sz="0" w:space="0" w:color="auto"/>
                <w:right w:val="none" w:sz="0" w:space="0" w:color="auto"/>
              </w:divBdr>
              <w:divsChild>
                <w:div w:id="307321077">
                  <w:marLeft w:val="0"/>
                  <w:marRight w:val="0"/>
                  <w:marTop w:val="0"/>
                  <w:marBottom w:val="0"/>
                  <w:divBdr>
                    <w:top w:val="none" w:sz="0" w:space="0" w:color="auto"/>
                    <w:left w:val="none" w:sz="0" w:space="0" w:color="auto"/>
                    <w:bottom w:val="none" w:sz="0" w:space="0" w:color="auto"/>
                    <w:right w:val="none" w:sz="0" w:space="0" w:color="auto"/>
                  </w:divBdr>
                  <w:divsChild>
                    <w:div w:id="16955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3063">
      <w:bodyDiv w:val="1"/>
      <w:marLeft w:val="0"/>
      <w:marRight w:val="0"/>
      <w:marTop w:val="0"/>
      <w:marBottom w:val="0"/>
      <w:divBdr>
        <w:top w:val="none" w:sz="0" w:space="0" w:color="auto"/>
        <w:left w:val="none" w:sz="0" w:space="0" w:color="auto"/>
        <w:bottom w:val="none" w:sz="0" w:space="0" w:color="auto"/>
        <w:right w:val="none" w:sz="0" w:space="0" w:color="auto"/>
      </w:divBdr>
      <w:divsChild>
        <w:div w:id="1862166218">
          <w:marLeft w:val="0"/>
          <w:marRight w:val="0"/>
          <w:marTop w:val="0"/>
          <w:marBottom w:val="0"/>
          <w:divBdr>
            <w:top w:val="none" w:sz="0" w:space="0" w:color="auto"/>
            <w:left w:val="none" w:sz="0" w:space="0" w:color="auto"/>
            <w:bottom w:val="none" w:sz="0" w:space="0" w:color="auto"/>
            <w:right w:val="none" w:sz="0" w:space="0" w:color="auto"/>
          </w:divBdr>
          <w:divsChild>
            <w:div w:id="1222443942">
              <w:marLeft w:val="0"/>
              <w:marRight w:val="0"/>
              <w:marTop w:val="0"/>
              <w:marBottom w:val="0"/>
              <w:divBdr>
                <w:top w:val="none" w:sz="0" w:space="0" w:color="auto"/>
                <w:left w:val="none" w:sz="0" w:space="0" w:color="auto"/>
                <w:bottom w:val="none" w:sz="0" w:space="0" w:color="auto"/>
                <w:right w:val="none" w:sz="0" w:space="0" w:color="auto"/>
              </w:divBdr>
              <w:divsChild>
                <w:div w:id="843475851">
                  <w:marLeft w:val="0"/>
                  <w:marRight w:val="0"/>
                  <w:marTop w:val="0"/>
                  <w:marBottom w:val="0"/>
                  <w:divBdr>
                    <w:top w:val="none" w:sz="0" w:space="0" w:color="auto"/>
                    <w:left w:val="none" w:sz="0" w:space="0" w:color="auto"/>
                    <w:bottom w:val="none" w:sz="0" w:space="0" w:color="auto"/>
                    <w:right w:val="none" w:sz="0" w:space="0" w:color="auto"/>
                  </w:divBdr>
                  <w:divsChild>
                    <w:div w:id="140972578">
                      <w:marLeft w:val="0"/>
                      <w:marRight w:val="0"/>
                      <w:marTop w:val="0"/>
                      <w:marBottom w:val="0"/>
                      <w:divBdr>
                        <w:top w:val="none" w:sz="0" w:space="0" w:color="auto"/>
                        <w:left w:val="none" w:sz="0" w:space="0" w:color="auto"/>
                        <w:bottom w:val="none" w:sz="0" w:space="0" w:color="auto"/>
                        <w:right w:val="none" w:sz="0" w:space="0" w:color="auto"/>
                      </w:divBdr>
                    </w:div>
                  </w:divsChild>
                </w:div>
                <w:div w:id="1389376838">
                  <w:marLeft w:val="0"/>
                  <w:marRight w:val="0"/>
                  <w:marTop w:val="0"/>
                  <w:marBottom w:val="0"/>
                  <w:divBdr>
                    <w:top w:val="none" w:sz="0" w:space="0" w:color="auto"/>
                    <w:left w:val="none" w:sz="0" w:space="0" w:color="auto"/>
                    <w:bottom w:val="none" w:sz="0" w:space="0" w:color="auto"/>
                    <w:right w:val="none" w:sz="0" w:space="0" w:color="auto"/>
                  </w:divBdr>
                  <w:divsChild>
                    <w:div w:id="13988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icciochi@bham.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090A-6D3A-5443-BBD3-FC008217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Picciochi (Applied Health Research)</dc:creator>
  <cp:keywords/>
  <dc:description/>
  <cp:lastModifiedBy>Maria Picciochi (Applied Health Research)</cp:lastModifiedBy>
  <cp:revision>3</cp:revision>
  <dcterms:created xsi:type="dcterms:W3CDTF">2024-03-26T16:34:00Z</dcterms:created>
  <dcterms:modified xsi:type="dcterms:W3CDTF">2024-03-28T10:46:00Z</dcterms:modified>
</cp:coreProperties>
</file>