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DDE6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Supplementary data</w:t>
      </w:r>
    </w:p>
    <w:p w14:paraId="2C9191DA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/>
      </w:r>
    </w:p>
    <w:p w14:paraId="25FFBD6B" w14:textId="77777777" w:rsidR="009E724E" w:rsidRDefault="009E724E">
      <w:pPr>
        <w:pStyle w:val="Text"/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9E724E">
        <w:rPr>
          <w:rFonts w:ascii="Arial" w:hAnsi="Arial"/>
          <w:b/>
          <w:bCs/>
          <w:sz w:val="28"/>
          <w:szCs w:val="28"/>
        </w:rPr>
        <w:t>Evaluation of clinical examination and preoperative imaging in UK-patients with right iliac fossa pain and medium to high-risk appendicitis scores</w:t>
      </w:r>
    </w:p>
    <w:p w14:paraId="6795351B" w14:textId="737D38FA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/>
      </w:r>
    </w:p>
    <w:p w14:paraId="62232FA3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AE77074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BD21618" w14:textId="4F7EF200" w:rsidR="00223779" w:rsidRDefault="00000000">
      <w:pPr>
        <w:pStyle w:val="Text"/>
        <w:spacing w:after="120"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Corresponding author: </w:t>
      </w:r>
      <w:r>
        <w:rPr>
          <w:rFonts w:ascii="Arial" w:hAnsi="Arial"/>
          <w:sz w:val="22"/>
          <w:szCs w:val="22"/>
        </w:rPr>
        <w:t>Dr Dmitri Nepogodiev,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Institute of Applied Health Research, University of Birmingham, Birmingham B15 2TH, UK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>
        <w:fldChar w:fldCharType="begin"/>
      </w:r>
      <w:r>
        <w:instrText>HYPERLINK "mailto:d.nepogodiev@bham.ac.uk"</w:instrText>
      </w:r>
      <w:r>
        <w:fldChar w:fldCharType="separate"/>
      </w:r>
      <w:r>
        <w:rPr>
          <w:rStyle w:val="Hyperlink0"/>
        </w:rPr>
        <w:t>d.nepogodiev@bham.ac.uk</w:t>
      </w:r>
      <w:r>
        <w:rPr>
          <w:rStyle w:val="Hyperlink0"/>
        </w:rPr>
        <w:fldChar w:fldCharType="end"/>
      </w:r>
      <w:r>
        <w:rPr>
          <w:rFonts w:ascii="Arial" w:hAnsi="Arial"/>
          <w:color w:val="800080"/>
          <w:sz w:val="22"/>
          <w:szCs w:val="22"/>
          <w:u w:color="800080"/>
        </w:rPr>
        <w:t xml:space="preserve"> </w:t>
      </w:r>
    </w:p>
    <w:p w14:paraId="65A6453F" w14:textId="77777777" w:rsidR="00223779" w:rsidRDefault="00223779">
      <w:pPr>
        <w:pStyle w:val="Text"/>
        <w:spacing w:line="360" w:lineRule="auto"/>
        <w:rPr>
          <w:rFonts w:ascii="Arial" w:eastAsia="Arial" w:hAnsi="Arial" w:cs="Arial"/>
          <w:b/>
          <w:bCs/>
          <w:color w:val="222222"/>
          <w:sz w:val="22"/>
          <w:szCs w:val="22"/>
          <w:u w:color="222222"/>
        </w:rPr>
      </w:pPr>
    </w:p>
    <w:p w14:paraId="36BB7A5F" w14:textId="77777777" w:rsidR="00223779" w:rsidRDefault="00000000">
      <w:pPr>
        <w:pStyle w:val="Text"/>
        <w:spacing w:line="360" w:lineRule="auto"/>
        <w:rPr>
          <w:rFonts w:ascii="Arial" w:eastAsia="Arial" w:hAnsi="Arial" w:cs="Arial"/>
          <w:b/>
          <w:bCs/>
          <w:color w:val="222222"/>
          <w:sz w:val="22"/>
          <w:szCs w:val="22"/>
          <w:u w:color="222222"/>
        </w:rPr>
      </w:pPr>
      <w:r>
        <w:rPr>
          <w:rFonts w:ascii="Arial" w:hAnsi="Arial"/>
          <w:b/>
          <w:bCs/>
          <w:color w:val="222222"/>
          <w:sz w:val="22"/>
          <w:szCs w:val="22"/>
          <w:u w:color="222222"/>
          <w:lang w:val="it-IT"/>
        </w:rPr>
        <w:t>Appendices</w:t>
      </w:r>
    </w:p>
    <w:p w14:paraId="51526B59" w14:textId="77777777" w:rsidR="00223779" w:rsidRDefault="00223779">
      <w:pPr>
        <w:pStyle w:val="Text"/>
        <w:spacing w:line="360" w:lineRule="auto"/>
        <w:rPr>
          <w:rFonts w:ascii="Arial" w:eastAsia="Arial" w:hAnsi="Arial" w:cs="Arial"/>
          <w:b/>
          <w:bCs/>
          <w:color w:val="222222"/>
          <w:sz w:val="22"/>
          <w:szCs w:val="22"/>
          <w:u w:color="222222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7508"/>
        <w:gridCol w:w="1706"/>
      </w:tblGrid>
      <w:tr w:rsidR="00223779" w14:paraId="0C6A1D79" w14:textId="77777777">
        <w:trPr>
          <w:trHeight w:val="2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1131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color w:val="222222"/>
                <w:sz w:val="22"/>
                <w:szCs w:val="22"/>
                <w:u w:color="222222"/>
              </w:rPr>
              <w:t>Appendix 1 – List of authors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792A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color w:val="222222"/>
                <w:sz w:val="22"/>
                <w:szCs w:val="22"/>
                <w:u w:color="222222"/>
              </w:rPr>
              <w:t>Pages 1-15</w:t>
            </w:r>
          </w:p>
        </w:tc>
      </w:tr>
      <w:tr w:rsidR="00223779" w14:paraId="3BA85F37" w14:textId="77777777">
        <w:trPr>
          <w:trHeight w:val="2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5CEF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color w:val="222222"/>
                <w:sz w:val="22"/>
                <w:szCs w:val="22"/>
                <w:u w:color="222222"/>
              </w:rPr>
              <w:t xml:space="preserve">Appendix 2 – Supplementary tables and materials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1C95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color w:val="222222"/>
                <w:sz w:val="22"/>
                <w:szCs w:val="22"/>
                <w:u w:color="222222"/>
              </w:rPr>
              <w:t>Pages 16-29</w:t>
            </w:r>
          </w:p>
        </w:tc>
      </w:tr>
    </w:tbl>
    <w:p w14:paraId="455987B6" w14:textId="77777777" w:rsidR="00223779" w:rsidRDefault="00223779">
      <w:pPr>
        <w:pStyle w:val="Text"/>
        <w:widowControl w:val="0"/>
        <w:rPr>
          <w:rFonts w:ascii="Arial" w:eastAsia="Arial" w:hAnsi="Arial" w:cs="Arial"/>
          <w:b/>
          <w:bCs/>
          <w:color w:val="222222"/>
          <w:sz w:val="22"/>
          <w:szCs w:val="22"/>
          <w:u w:color="222222"/>
        </w:rPr>
      </w:pPr>
    </w:p>
    <w:p w14:paraId="16B83CF1" w14:textId="77777777" w:rsidR="00223779" w:rsidRDefault="00223779">
      <w:pPr>
        <w:pStyle w:val="Text"/>
        <w:spacing w:after="240" w:line="360" w:lineRule="auto"/>
        <w:rPr>
          <w:rFonts w:ascii="Arial" w:eastAsia="Arial" w:hAnsi="Arial" w:cs="Arial"/>
          <w:color w:val="800080"/>
          <w:sz w:val="22"/>
          <w:szCs w:val="22"/>
          <w:u w:color="800080"/>
        </w:rPr>
      </w:pPr>
    </w:p>
    <w:p w14:paraId="3506ABA3" w14:textId="77777777" w:rsidR="00223779" w:rsidRDefault="00223779">
      <w:pPr>
        <w:pStyle w:val="Text"/>
        <w:spacing w:after="240" w:line="360" w:lineRule="auto"/>
        <w:rPr>
          <w:rFonts w:ascii="Arial" w:eastAsia="Arial" w:hAnsi="Arial" w:cs="Arial"/>
          <w:color w:val="800080"/>
          <w:sz w:val="22"/>
          <w:szCs w:val="22"/>
          <w:u w:color="800080"/>
        </w:rPr>
      </w:pPr>
    </w:p>
    <w:p w14:paraId="5BF36DFF" w14:textId="77777777" w:rsidR="00223779" w:rsidRDefault="00223779">
      <w:pPr>
        <w:pStyle w:val="Text"/>
        <w:spacing w:after="12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4CFAB0D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4DE1DC47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lastRenderedPageBreak/>
        <w:t xml:space="preserve">Appendix S1 </w:t>
      </w:r>
      <w:r>
        <w:rPr>
          <w:rFonts w:ascii="Arial" w:hAnsi="Arial"/>
          <w:b/>
          <w:bCs/>
        </w:rPr>
        <w:t>– List of authors</w:t>
      </w:r>
    </w:p>
    <w:p w14:paraId="6CCC5F5D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7736F3D" w14:textId="77777777" w:rsidR="00223779" w:rsidRDefault="00000000">
      <w:pPr>
        <w:pStyle w:val="Text"/>
      </w:pPr>
      <w:bookmarkStart w:id="0" w:name="OLE_LINK1"/>
      <w:r>
        <w:rPr>
          <w:b/>
          <w:bCs/>
          <w:lang w:val="de-DE"/>
        </w:rPr>
        <w:t>W</w:t>
      </w:r>
      <w:bookmarkStart w:id="1" w:name="OLE_LINK2"/>
      <w:bookmarkEnd w:id="0"/>
      <w:r>
        <w:rPr>
          <w:b/>
          <w:bCs/>
        </w:rPr>
        <w:t>r</w:t>
      </w:r>
      <w:bookmarkStart w:id="2" w:name="OLE_LINK3"/>
      <w:bookmarkEnd w:id="1"/>
      <w:r>
        <w:rPr>
          <w:b/>
          <w:bCs/>
        </w:rPr>
        <w:t>i</w:t>
      </w:r>
      <w:bookmarkStart w:id="3" w:name="OLE_LINK4"/>
      <w:bookmarkEnd w:id="2"/>
      <w:r>
        <w:rPr>
          <w:b/>
          <w:bCs/>
        </w:rPr>
        <w:t xml:space="preserve">ting group (alphabetical): </w:t>
      </w:r>
      <w:r>
        <w:rPr>
          <w:lang w:val="it-IT"/>
        </w:rPr>
        <w:t>A Bhangu, J Glasbey, SK Kamarajah, V Ledda, E Li, D Nepogodiev, M Picciochi, J Sim</w:t>
      </w:r>
      <w:bookmarkEnd w:id="3"/>
      <w:r>
        <w:rPr>
          <w:lang w:val="nl-NL"/>
        </w:rPr>
        <w:t>oes</w:t>
      </w:r>
    </w:p>
    <w:p w14:paraId="227F6C20" w14:textId="77777777" w:rsidR="00223779" w:rsidRDefault="00223779">
      <w:pPr>
        <w:pStyle w:val="Text"/>
      </w:pPr>
    </w:p>
    <w:p w14:paraId="0D63CFEF" w14:textId="77777777" w:rsidR="00223779" w:rsidRDefault="00000000">
      <w:pPr>
        <w:pStyle w:val="Text"/>
      </w:pPr>
      <w:r>
        <w:rPr>
          <w:b/>
          <w:bCs/>
        </w:rPr>
        <w:t>Steering group:</w:t>
      </w:r>
      <w:r>
        <w:t xml:space="preserve"> T Amuthalingam, A Ball, S Bhanderi, A Bhangu, R Blanco-Colino, NS Blencowe, P Chauhan, J Clements, TM Drake, M Frasson, JC Glasbey, PJJ Herrod, S Jain, JH Matthews, GL Morley, I Mohamed, DN Naumann, F Pata, AS Soares, R Tyler, RJW Wilkin, D Nepogodiev</w:t>
      </w:r>
    </w:p>
    <w:p w14:paraId="492CC22A" w14:textId="77777777" w:rsidR="00223779" w:rsidRDefault="00223779">
      <w:pPr>
        <w:pStyle w:val="Text"/>
      </w:pPr>
    </w:p>
    <w:p w14:paraId="5521A3E4" w14:textId="77777777" w:rsidR="00223779" w:rsidRDefault="00000000">
      <w:pPr>
        <w:pStyle w:val="Normal1"/>
        <w:spacing w:line="240" w:lineRule="auto"/>
      </w:pPr>
      <w:r>
        <w:rPr>
          <w:b/>
          <w:bCs/>
        </w:rPr>
        <w:t>Italy national committee:</w:t>
      </w:r>
      <w:r>
        <w:t xml:space="preserve"> F Pata, G Pellino, A Sgrò, A Simioni, V Farina, M Podda, S Di Saverio, A Birindelli, S Pasquali, ITSurg</w:t>
      </w:r>
    </w:p>
    <w:p w14:paraId="06994B7B" w14:textId="77777777" w:rsidR="00223779" w:rsidRDefault="00223779">
      <w:pPr>
        <w:pStyle w:val="Normal1"/>
        <w:spacing w:line="240" w:lineRule="auto"/>
      </w:pPr>
    </w:p>
    <w:p w14:paraId="41F16581" w14:textId="77777777" w:rsidR="00223779" w:rsidRDefault="00000000">
      <w:pPr>
        <w:pStyle w:val="Text"/>
      </w:pPr>
      <w:r>
        <w:rPr>
          <w:b/>
          <w:bCs/>
          <w:lang w:val="pt-PT"/>
        </w:rPr>
        <w:t>Portugal national committee:</w:t>
      </w:r>
      <w:r>
        <w:rPr>
          <w:lang w:val="pt-PT"/>
        </w:rPr>
        <w:t xml:space="preserve"> AS Soares, PTSurg</w:t>
      </w:r>
      <w:r>
        <w:br/>
      </w:r>
      <w:r>
        <w:br/>
      </w:r>
      <w:r>
        <w:rPr>
          <w:b/>
          <w:bCs/>
        </w:rPr>
        <w:t>Spanish national committee:</w:t>
      </w:r>
      <w:r>
        <w:rPr>
          <w:lang w:val="it-IT"/>
        </w:rPr>
        <w:t xml:space="preserve"> R Blanco-Colino, M Frasson</w:t>
      </w:r>
    </w:p>
    <w:p w14:paraId="64CFEC10" w14:textId="77777777" w:rsidR="00223779" w:rsidRDefault="00223779">
      <w:pPr>
        <w:pStyle w:val="Text"/>
      </w:pPr>
    </w:p>
    <w:p w14:paraId="17A018BA" w14:textId="77777777" w:rsidR="00223779" w:rsidRDefault="00000000">
      <w:pPr>
        <w:pStyle w:val="Text"/>
      </w:pPr>
      <w:r>
        <w:rPr>
          <w:b/>
          <w:bCs/>
        </w:rPr>
        <w:t>Regional leads:</w:t>
      </w:r>
      <w:r>
        <w:t xml:space="preserve"> NS Blencowe, W Bolton, CJ Bradshaw, CS Chean, G Harris, JB Haddow, NB Jamieson, S McCain, J Mason, D Milgrom, GR Nana, MS Noor Mohamed, J O</w:t>
      </w:r>
      <w:r>
        <w:rPr>
          <w:rtl/>
        </w:rPr>
        <w:t>’</w:t>
      </w:r>
      <w:r>
        <w:t xml:space="preserve">Brien, JCH Pearce, M Rabie, K Sahnan, P Sarmah, C Skerritt, East Midlands Surgical Academic Network, London Surgical Research Group, Paediatric Surgical Trainee Research Network, West Midlands Research Collaborative </w:t>
      </w:r>
    </w:p>
    <w:p w14:paraId="73E15529" w14:textId="77777777" w:rsidR="00223779" w:rsidRDefault="00223779">
      <w:pPr>
        <w:pStyle w:val="Text"/>
      </w:pPr>
    </w:p>
    <w:p w14:paraId="268CEB93" w14:textId="77777777" w:rsidR="00223779" w:rsidRDefault="00000000">
      <w:pPr>
        <w:pStyle w:val="Text"/>
      </w:pPr>
      <w:r>
        <w:rPr>
          <w:b/>
          <w:bCs/>
        </w:rPr>
        <w:t xml:space="preserve">Local leads: </w:t>
      </w:r>
      <w:r>
        <w:t xml:space="preserve">MA Ghazanfar (Aberdeen Royal Infirmary); L Sreedharan (Addenbrooke's Hospital); S Kabwama (Airedale General Hospital, Keighley); RT Gray (Altnagelvin Area Hospital); IW Kamande (Antrim Area Hospital); S Nazarian (Barnet Hospital); FA Dar (Barnsley District General Hospital); AT Misky (Basildon University Hospital); S Arunachalam (Basingstoke And North Hampshire Hospital); CS Twum-Barima (Bedford Hospital); IM Mohamed (Birmingham Heartlands Hospital); KL Connor (Borders General Hospital, Melrose); PO Coe (Bradford Royal Infirmary); A Kosti (Bristol Royal Infirmary); M Elshaer (Broomfield Hospital); DA Colvin (Causeway Hospital, Coleraine); MP Charalambous (Charing Cross Hospital); KTD Yeung (Chelsea And Westminster Hospital); LAG Merker (Cheltenham General Hospital); TEM Morrison (Colchester General Hospital); AJ Thaventhiran (Conquest Hospital, St Leonards On Sea); TM Gilbert (Countess Of Chester Hospital); JM Clements (Craigavon Area Hospital); G Hicks (Croydon University Hospital); S Afshar (Cumberland Infirmary, Carlisle); NC Mckinley (Daisy Hill Hospital, Newry); N Assaf (Darent Valley Hospital, Dartford); T Hanna (Derriford Hospital); EGE Macinnes (Doncaster Royal Infirmary); N Thavanesan (Dorset County Hospital, Dorchester); AS Dubois (Dr Gray's Hospital, Elgin); LK Palani-Velu (Forth Valley Royal Hospital, </w:t>
      </w:r>
      <w:r>
        <w:rPr>
          <w:lang w:val="de-DE"/>
        </w:rPr>
        <w:t>Larbert</w:t>
      </w:r>
      <w:r>
        <w:t xml:space="preserve">); S Tezas (Furness General Hospital, Barrow-In-Furness); LPS Yow (Glan Clwyd Hospital, Rhyl); RW Radwan (Glangwili General Hospital, Carmarthen); NB Jamieson (Glasgow Royal Infirmary); M Abdelrahman (Gloucestershire Royal Hospital); KA Lee (Good Hope District General Hospital); Z A Zarka (Great Western Hospital, Swindon); NA Mcdowall (Hairmyres Hospital); CY Tan (Hinchingbrooke Hospital, Huntingdon); ML Venn (Homerton University Hospital); DL Ashmore (Huddersfield Royal Infirmary); SE Whitehorn (Hull Royal Infirmary); AM Golder (Inverclyde Royal Hospital, Greenock); A Reddy (James Cook University Hospital, Middlesbrough); C Delimpalta (James Paget Hospital, Great Yarmouth); OH Kay (John </w:t>
      </w:r>
      <w:r>
        <w:lastRenderedPageBreak/>
        <w:t xml:space="preserve">Radcliffe Hospital); P Sarmah (Kettering General Hospital); SM Shah (King George Hospital, Ilford); I Eiben (King's College Hospital); C Doyle (King's Mill Hospital, Sutton In Ashfield); V Tudyka (Kingston Hospital); E Issa (Leicester General Hospital); H West (Leicester Royal Infirmary); HK Brewer (Lincoln County Hospital); EZ Farrow (Lister Hospital, Stevenage); NS Taylor (Luton &amp; Dunstable Hospital); CJ Smart (Macclesfield District General Hospital); NP Griffiths (Manchester Royal Infirmary); C Halkias (Medway Maritime Hospital, Gillingham); P Vitish-Sharma (Milton Keynes University Hospital); SR Knight (Monklands Hospital, Airdrie); NG Mowbray (Morriston Hospital, Swansea); JB Olivier (Musgrove Park Hospital, Taunton); KJ Lee (New Cross Hospital, Wolverhampton); KD Clement (Ninewells Hospital, Dundee); DRR Chrastek (Norfolk And Norwich University Hospital); N Panda (North Manchester General Hospital); MJ Connor (North Middlesex University Hospital); SE Fahmy (Northampton General Hospital, Northampton); ES Bryan (Northern General Hospital, Sheffield); WS Ngu (Northumbria Specialist Emergency Care Hospital); SO Adegbola (Northwick Park Hospital, Harrow); EM Vaughan (Perth Royal Infirmary); W Stupalkowska (Peterborough City Hospital); LFC Simmonds (Pilgrim Hospital, Boston); A Malik (Pinderfields Hospital); A Hussein (Princess Alexandra Hospital, Harlow); MJ Karim (Princess Of Wales Hospital, Grimsby); T Singhal (Princess Royal University Hospital, Orpington); R Ormiston (Queen Alexandra Hospital, Portsmouth); D Nepogodiev (Queen Elizabeth Hospital Birmingham); VWS Kung (Queen Elizabeth Hospital, Woolwich); MA Rabie (Queen Elizabeth The Queen Mother Hospital); JH Park (Queen Elizabeth University Hospital, Glasgow); N Lal (Queen's Hospital); D Worku (Queen's Hospital, Romford); M D'Auria (Queen's Medical Centre, Nottingham); A Ang (Rotherham District General Hospital); M Orizu (Royal Alexandra Hospital, Paisley); E Gammeri (Royal Berkshire Hospital, Reading); ECS Clough (Royal Bolton Hospital); CH Choy (Royal Cornwall Hospital, Truro); PJJ Herrod (Royal Derby Hospital); S Lawday (Royal Devon &amp; Exeter Hospital); AJ Hann (Royal Free Hospital); D Robinson (Royal Glamorgan Hospital, Ynysmaerdy); BG Wardle (Royal Gwent Hospital, Newport); D Mcdonnell (Royal Hampshire County Hospital, Winchester); DG Rutherford (Royal Infirmary Of Edinburgh); LM Hickey (Royal Lancaster Infirmary); AG Garg (Royal London Hospital); S Rezvani (Royal Oldham Hospital); CR Bell (Royal Preston Hospital); F Mahmood (Royal Stoke University Hospital); S Rehman (Royal Sussex County Hospital, Brighton); G Donaldson (Royal Victoria Hospital); A Peleki (Russells Hall Hospital); L Pearce (Salford Royal); OL Sharp (Salisbury District Hospital); S Jain (Sandwell General Hospital, West Bromwich); S Singh (Scarborough General Hospital); DB Thompson (Scunthorpe General Hospital); O El-Tayar (South West Acute, Enniskillen); M Hollyman (Southmead Hospital, Bristol); SN Rupasinghe (Southport And Formby District General Hospital); DB Toomey (St George's Hospital, London); MP Murray (St Helier Hospital, Carshalton); N Amtul (St James' University Hospital); RJ Mersh (St Mary's Hospital, London); RC Newton (St Peter's Hospital, Chertsey); W Al-Khyatt (St Richard'S Hospital, Chichester); GF Stephens (St Thomas' Hospital); SH Abbas (Stoke Mandeville Hospital, Aylesbury); MR Iqbal (Tunbridge Wells Hospital, Pembury); CE Brown (Ulster Hospital, Dundonald); S Renshaw (University College Hospital); KA Hureibi (University Hospital Coventry and Warwickshire); UP Pullabatla-Venkata (University Hospital Crosshouse, Kilmarnock); N O Donohoe (University Hospital Lewisham); A Myatt (University Hospital Of North Tees); RJ Egan (University Hospital Of Wales, Cardiff); K Rangarajan (University Hospital Southampton); M Trail (Victoria Hospital, Kirkcaldy); SC Mckay (Walsall Manor </w:t>
      </w:r>
      <w:r>
        <w:lastRenderedPageBreak/>
        <w:t xml:space="preserve">Hospital); NFT Engall (Warrington Hospital); E Jerome (Warwick Hospital); DC Townsend (Watford General Hospital); BY Patel (West Middlesex University Hospital); S Pronin (Western General Hospital, Edinburgh); N Chandratreya (Weston General Hospital, Weston-Super-Mare); JH Choong (Whipps Cross University Hospital); TM Mohamed (Whittington Hospital); NJ Hudson-Peacock (William Harvey Hospital); R Manson (Wishaw General Hospital); S Bhanderi (Worcestershire Royal Hospital); KRM Hebbar (Worthing Hospital); BS Mothe (Wythenshawe Hospital, Manchester); CR Weegenaar (Yeovil District Hospital); M Saad (York Hospital); CR Bowman (Ysbyty Wrexham Maelor Hospital); </w:t>
      </w:r>
      <w:r>
        <w:rPr>
          <w:b/>
          <w:bCs/>
          <w:lang w:val="it-IT"/>
        </w:rPr>
        <w:t xml:space="preserve">Italy: </w:t>
      </w:r>
      <w:r>
        <w:rPr>
          <w:lang w:val="it-IT"/>
        </w:rPr>
        <w:t>F Serventi (Alghero Ospedale Civile); F Fleres (AOU G. Martino Policlinico di Messina / Universit</w:t>
      </w:r>
      <w:r>
        <w:t xml:space="preserve">à </w:t>
      </w:r>
      <w:r>
        <w:rPr>
          <w:lang w:val="it-IT"/>
        </w:rPr>
        <w:t>degli Studi di Messina); C Foppa (Aou-Careggi - Florence); G Pata (Asst Spedali Civili di Brescia); G Baronio (Asst Valle Camonica-Esine); D Pertile (Ausl Piacenza); A Lucchi (Ausl Romagna - Ceccarini Hospital - Riccione); A Sagnotta (Azienda Ospedaliera Santa Maria Terni); I Maretto (Azienda Ospedaliera Universitaria Di Padova); T Campagnaro (Azienda Ospedaliera Universitaria Integrata Verona); M Gatti (Borgomanero Hospital); EGJ Gjoni (Busto Arsizio Hospital); F Roscio (Galmarini Hospital, Tradate); M Inama (Hospital Pederzoli); F Coccolini (Hpg XXIII Bergamo); A Sgrò (Irccs Policlinico San Matteo - Pavia); F Colombo (L.Sacco University Hospital); A Avanzolini (Morgagni-Pierantoni Hospital, Forl</w:t>
      </w:r>
      <w:r>
        <w:t>ì</w:t>
      </w:r>
      <w:r>
        <w:rPr>
          <w:lang w:val="it-IT"/>
        </w:rPr>
        <w:t>); S Aresu (Nostra Signora Della Mercedes Hospital); A De-Manzoni-Garberini (Ospedale Civile Spirito Santo di Pescara); DA Merlini (Ospedale Di Rho (Milano); - Asst Rhodense); A Chessa (Ospedale S.Giovanni di Dio-Orbetello); N Tamini (Ospedale San Gerardo); S Mulas (Ospedale Santissima Annunziata Aou Sassari Uoc Chirurgia Generale E D'Urgenza); N Cillara (Po Santissima Trinit</w:t>
      </w:r>
      <w:r>
        <w:t xml:space="preserve">à </w:t>
      </w:r>
      <w:r>
        <w:rPr>
          <w:lang w:val="it-IT"/>
        </w:rPr>
        <w:t>- Assl Cagliari); D Coletta (Policlinico Umberto I Universit</w:t>
      </w:r>
      <w:r>
        <w:t xml:space="preserve">à </w:t>
      </w:r>
      <w:r>
        <w:rPr>
          <w:lang w:val="it-IT"/>
        </w:rPr>
        <w:t>'La Sapienza'); J Atzeni (Policlinico Universitario Di Monserrato); E Erdas (Policlinico Universitario 'Duilio Casula'); G Gallo (Pugliese-Ciaccio' Hospital, Catanzaro / University "Magna Graecia" of Catanzaro); E Francone (S. Andrea Hospital Poll-Asl5); P Di Gioia (S. Maria Delle Croci Ravenna); A Birindelli (S.Orsola-Malpighi); CL Bianchi (San Bartolomeo Hospital Sarzana); F Ferrara (San Carlo Borromeo Hospital, Milan); A Biancafarina (San Donato Hospital, Arezzo); M Podda (San Francesco Hospital, Nuoro); S Scabini (San Martino Genova); L Marano (San Matteo degli Infermi Hospital - Ausl Umbria 2 - Spoleto); A Miegge (San Raffaele Hospital); D Sasia (Santa Croce And Carle Hospital, Cuneo); G Savino (Santa Maria Regina degli Angeli Aulss 5 Polesana- Adria Hospital); F Pata (Sant'Antonio Abate Hospital, Gallarate); M Scatizzi (Santo Stefano Hospital); FE D'Amico (Treviso Hospital - Ca Foncello); GA Arcuri (U.S.L. Umbria 1 - Citt</w:t>
      </w:r>
      <w:r>
        <w:t xml:space="preserve">à </w:t>
      </w:r>
      <w:r>
        <w:rPr>
          <w:lang w:val="it-IT"/>
        </w:rPr>
        <w:t xml:space="preserve">Di Castello); L Gavagna (University of Ferrara); G Salamone (University of Palermo); F Tatulli (V. Emanuele II, Bisceglie); E Goldin (Vicenza Hospital); </w:t>
      </w:r>
      <w:r>
        <w:rPr>
          <w:b/>
          <w:bCs/>
          <w:lang w:val="pt-PT"/>
        </w:rPr>
        <w:t xml:space="preserve">Portugal: </w:t>
      </w:r>
      <w:r>
        <w:rPr>
          <w:lang w:val="pt-PT"/>
        </w:rPr>
        <w:t xml:space="preserve">ML Matos (Centro Hospitalar de Entre o Douro e Vouga E.P.E.); AB Caldeira (Centro Hospitalar De São João); J Romano (Centro Hospitalar Lisboa Ocidental); J Pereira (Centro Hospitalar Tondela-Viseu); JGM Azevedo (Centro Hospitalar Vila Nova De Gaia); JM Azevedo (Hospital Da Horta); JFF Simoes (Hospital Garcia De Orta); ACQ Silva (Hospital Pedro Hispano - Uls Matosinhos); AS Soares (Hospital Prof. Dr. Fernando Fonseca); </w:t>
      </w:r>
      <w:r>
        <w:rPr>
          <w:b/>
          <w:bCs/>
        </w:rPr>
        <w:t xml:space="preserve">Republic of Ireland: </w:t>
      </w:r>
      <w:r>
        <w:t xml:space="preserve">DP O'Leary (Beaumont Hospital); ND Kennedy (Blackrock Clinic); EM Quinn (Connolly Hospital, Blanchardstown); AY Zhang (Letterkenny University Hospital); PM Neary (Mater Misericordiae University Hospital); JA De-Marchi (Our Lady Of Lourdes Hospital); BR O'Connor (Our Lady's Children's Hospital, Dublin); K Wijesundera (Portiuncula Hospital); NM Foley (Sligo University Hospital); J Wong (St James' Hospital, Dublin, Ireland); ND Kennedy (St Vincent's University Hospital); LA Tiedt (Tallaght </w:t>
      </w:r>
      <w:r>
        <w:lastRenderedPageBreak/>
        <w:t xml:space="preserve">Hospital); JC Bolger (University Hospital Limerick); TM Connelly (University Hospital Waterford); OS Ahmed (Wexford General Hospital); </w:t>
      </w:r>
      <w:r>
        <w:rPr>
          <w:b/>
          <w:bCs/>
        </w:rPr>
        <w:t xml:space="preserve">Spain: </w:t>
      </w:r>
      <w:r>
        <w:rPr>
          <w:lang w:val="pt-PT"/>
        </w:rPr>
        <w:t>V Vigorita (Alvaro Cunqueiro Hospital); V Garc</w:t>
      </w:r>
      <w:r>
        <w:t>í</w:t>
      </w:r>
      <w:r>
        <w:rPr>
          <w:lang w:val="es-ES_tradnl"/>
        </w:rPr>
        <w:t>a (Complejo Asistencial De Segovia); J Arredondo (Complejo Asistencial Universitario De León); E Redondo (Complejo Asistencial Universitario De Palencia); B Sainz (Complejo Hospitalario De Navarra); I Aldrey (Complexo Hospitalario Universitario De Ourense); A Landaluce-Olavarria (Galdacano); A De Andr</w:t>
      </w:r>
      <w:r>
        <w:rPr>
          <w:lang w:val="fr-FR"/>
        </w:rPr>
        <w:t>é</w:t>
      </w:r>
      <w:r>
        <w:rPr>
          <w:lang w:val="de-DE"/>
        </w:rPr>
        <w:t>s G</w:t>
      </w:r>
      <w:r>
        <w:rPr>
          <w:lang w:val="es-ES_tradnl"/>
        </w:rPr>
        <w:t>ómez (General University Hospital Of Valencia); E Cordoba (H Clinico Universitario Zaragoza); MN S</w:t>
      </w:r>
      <w:r>
        <w:t>á</w:t>
      </w:r>
      <w:r>
        <w:rPr>
          <w:lang w:val="es-ES_tradnl"/>
        </w:rPr>
        <w:t>nchez-Fuentes (H.U. Miguel Servet. Zaragoza); C Cerd</w:t>
      </w:r>
      <w:r>
        <w:t>á</w:t>
      </w:r>
      <w:r>
        <w:rPr>
          <w:lang w:val="es-ES_tradnl"/>
        </w:rPr>
        <w:t>n-Santacruz (Hospital Arnau De Vilanova De Lleida); J Beltran-De-Heredia (Hospital Clinico De Valladolid); MTGM Garc</w:t>
      </w:r>
      <w:r>
        <w:t>í</w:t>
      </w:r>
      <w:r>
        <w:rPr>
          <w:lang w:val="it-IT"/>
        </w:rPr>
        <w:t>a (Hospital Comarcal De Valdeorras); T Veres (Hospital De Cerdanya); A Garc</w:t>
      </w:r>
      <w:r>
        <w:t>í</w:t>
      </w:r>
      <w:r>
        <w:rPr>
          <w:lang w:val="pt-PT"/>
        </w:rPr>
        <w:t>a-Novoa (Hospital Do Saln</w:t>
      </w:r>
      <w:r>
        <w:rPr>
          <w:lang w:val="fr-FR"/>
        </w:rPr>
        <w:t>é</w:t>
      </w:r>
      <w:r>
        <w:rPr>
          <w:lang w:val="es-ES_tradnl"/>
        </w:rPr>
        <w:t>s); A Melero Abell</w:t>
      </w:r>
      <w:r>
        <w:t>á</w:t>
      </w:r>
      <w:r>
        <w:rPr>
          <w:lang w:val="es-ES_tradnl"/>
        </w:rPr>
        <w:t>n (Hospital General de Villarrobledo); L Garc</w:t>
      </w:r>
      <w:r>
        <w:t>í</w:t>
      </w:r>
      <w:r>
        <w:rPr>
          <w:lang w:val="es-ES_tradnl"/>
        </w:rPr>
        <w:t>a-Catal</w:t>
      </w:r>
      <w:r>
        <w:t xml:space="preserve">á </w:t>
      </w:r>
      <w:r>
        <w:rPr>
          <w:lang w:val="es-ES_tradnl"/>
        </w:rPr>
        <w:t>(Hospital General Universitario De Elche); M Ruiz-Mar</w:t>
      </w:r>
      <w:r>
        <w:t>í</w:t>
      </w:r>
      <w:r>
        <w:rPr>
          <w:lang w:val="es-ES_tradnl"/>
        </w:rPr>
        <w:t>n (Hospital General Universitario Reina Sof</w:t>
      </w:r>
      <w:r>
        <w:t>í</w:t>
      </w:r>
      <w:r>
        <w:rPr>
          <w:lang w:val="es-ES_tradnl"/>
        </w:rPr>
        <w:t>a); P Menendez (Hospital Gutierrez Ortega); S Rold</w:t>
      </w:r>
      <w:r>
        <w:t>á</w:t>
      </w:r>
      <w:r>
        <w:rPr>
          <w:lang w:val="es-ES_tradnl"/>
        </w:rPr>
        <w:t>n-Ortiz (Hospital Puerta Del Mar); JA Navas-Cu</w:t>
      </w:r>
      <w:r>
        <w:rPr>
          <w:lang w:val="fr-FR"/>
        </w:rPr>
        <w:t>é</w:t>
      </w:r>
      <w:r>
        <w:rPr>
          <w:lang w:val="es-ES_tradnl"/>
        </w:rPr>
        <w:t>llar (Hospital Punta De Europa); D Sabia (Hospital Sant Joan Despi, Moises Broggi); JC Gomez-Rosado (Hospital Univ. Virgen Macarena); M Serrano Navidad (Hospital Universitari de Bellvitge); C Caula (Hospital Universitari De Girona Doctor Josep Trueta); ER Sanchez (Hospital Universitari Germans Trias I Pujol); E Espin-Basany (Hospital Universitari Vall D'Hebron); D Fern</w:t>
      </w:r>
      <w:r>
        <w:t>á</w:t>
      </w:r>
      <w:r>
        <w:rPr>
          <w:lang w:val="fr-FR"/>
        </w:rPr>
        <w:t>ndez-Mart</w:t>
      </w:r>
      <w:r>
        <w:t>í</w:t>
      </w:r>
      <w:r>
        <w:rPr>
          <w:lang w:val="es-ES_tradnl"/>
        </w:rPr>
        <w:t>nez (Hospital Universitario Central De Asturias, Oviedo); AF Bravo-Guti</w:t>
      </w:r>
      <w:r>
        <w:rPr>
          <w:lang w:val="fr-FR"/>
        </w:rPr>
        <w:t>é</w:t>
      </w:r>
      <w:r>
        <w:rPr>
          <w:lang w:val="es-ES_tradnl"/>
        </w:rPr>
        <w:t>rrez (Hospital Universitario de Canarias); C Pay</w:t>
      </w:r>
      <w:r>
        <w:t>á</w:t>
      </w:r>
      <w:r>
        <w:rPr>
          <w:lang w:val="es-ES_tradnl"/>
        </w:rPr>
        <w:t>-Llorente (Hospital Universitario Doctor Peset, Valencia); P Dujovne (Hospital Universitario Fundación Alcorcon, Madrid); F Lima (Hospital Universitario Infanta Sofia); V Soria-Aledo (Hospital Universitario J.M. Morales Meseguer, Murcia); CJ Gomez (Hospital Universitario Joan XXIII, Tarragona); I Pascual-Miguelañez (Hospital universitario La Paz); M Muinelo (Hospital Universitario Lucus Augusti); C Magadan Alvarez (Hospital Universitario Marques De Valdecilla); HJ Vargas-Pierola (Hospital Universitario Mutua Terrassa); M Vallve-Bernal (Hospital Universitario Nuestra Señora De Candelaria); JM Hidalgo-Rosas (Hospital Universitario Parc Tauli); JJ Arenal-Vera (Hospital Universitario Rio Hortega); F Sena-Ruiz (Hospital Universitario Son Espases); L Sanchez-Guillen (Hospital Universitario Y Polit</w:t>
      </w:r>
      <w:r>
        <w:rPr>
          <w:lang w:val="fr-FR"/>
        </w:rPr>
        <w:t>é</w:t>
      </w:r>
      <w:r>
        <w:rPr>
          <w:lang w:val="es-ES_tradnl"/>
        </w:rPr>
        <w:t>cnico La Fe); P Villarejo-Campos (Hospital Universitarios Ciudad Real); L Tallon-Aguilar (Hospital Virgen Del Roc</w:t>
      </w:r>
      <w:r>
        <w:t>í</w:t>
      </w:r>
      <w:r>
        <w:rPr>
          <w:lang w:val="es-ES_tradnl"/>
        </w:rPr>
        <w:t>o, Sevilla); A Garcea (Torrevieja Hospital).</w:t>
      </w:r>
    </w:p>
    <w:p w14:paraId="07362C9D" w14:textId="77777777" w:rsidR="00223779" w:rsidRDefault="00223779">
      <w:pPr>
        <w:pStyle w:val="Text"/>
      </w:pPr>
    </w:p>
    <w:p w14:paraId="445A3E14" w14:textId="2D1F65AD" w:rsidR="00223779" w:rsidRDefault="00000000">
      <w:pPr>
        <w:pStyle w:val="Text"/>
      </w:pPr>
      <w:r>
        <w:rPr>
          <w:b/>
          <w:bCs/>
        </w:rPr>
        <w:t xml:space="preserve">Supervising consultants (investigation; supervision; writing – review &amp; editing): United Kingdom: </w:t>
      </w:r>
      <w:r>
        <w:t xml:space="preserve">E Aly (Aberdeen Royal Infirmary); JM Bennett (Addenbrooke's Hospital); L Whittaker (Airedale General Hospital, Keighley); AL Gidwani (Altnagelvin Area Hospital); CK Byrnes (Antrim Area Hospital); SMF Saunders (Barnet Hospital); MH Shiwani (Barnsley District General Hospital); N Ashraf (Basildon University Hospital); AK Venkatasubramaniam (Basingstoke And North Hampshire Hospital); KE Bevan (Bedford Hospital); D Mcarthur (Birmingham Heartlands Hospital); AK Mustafa (Borders General Hospital, Melrose); JP Griffith (Bradford Royal Infirmary); A Charalabopoulos (Broomfield Hospital); W Campbell (Causeway Hospital, Coleraine); G Reese (Charing Cross Hospital); OJ Warren (Chelsea And Westminster Hospital); M Peacock (Cheltenham General Hospital); D Menzies (Colchester General Hospital); D Jenner (Conquest Hospital, St Leonards On Sea); NJ Eardley (Countess Of Chester Hospital); S Yoong (Craigavon Area Hospital); M Abulafi (Croydon University Hospital); H Avalapati (Cumberland Infirmary, Carlisle); R Thompson (Daisy Hill Hospital, Newry); P Nastro </w:t>
      </w:r>
      <w:r>
        <w:lastRenderedPageBreak/>
        <w:t xml:space="preserve">(Darent Valley Hospital, Dartford); R Kochupapy (Derriford Hospital); D Beral (Doncaster Royal Infirmary); BM Stubbs (Dorset County Hospital, Dorchester); R McIntyre (Dr Gray's Hospital, Elgin); J Crozier (Forth Valley Royal Hospital, </w:t>
      </w:r>
      <w:r>
        <w:rPr>
          <w:lang w:val="de-DE"/>
        </w:rPr>
        <w:t>Larbert</w:t>
      </w:r>
      <w:r>
        <w:t xml:space="preserve">); PK Patel (Furness General Hospital, Barrow-In-Furness); V Pento (Glan Clwyd Hospital, Rhyl); WD Beasley (Glangwili General Hospital, Carmarthen); CSD Roxburgh (Glasgow Royal Infirmary); ST Hornby (Gloucestershire Royal Hospital); H Youssef (Good Hope District General Hospital); R Alexander (Great Western Hospital, Swindon); S Denley (Hairmyres Hospital); F Di Franco (Hinchingbrooke Hospital, Huntingdon); A Quddus (Homerton University Hospital); A Saha (Huddersfield Royal Infirmary); I Hunter (Hull Royal Infirmary); JAF Hannay (Inverclyde Royal Hospital, Greenock); A Reddy (James Cook University Hospital, Middlesbrough); VR Velchuru (James Paget Hospital, Great Yarmouth); GEL Bond-Smith (John Radcliffe Hospital); Y Salama (Kettering General Hospital); A Bhargava (King George Hospital, Ilford); SP Panagiotopoulos (King's College Hospital); N Watson (King's Mill Hospital, Sutton In Ashfield); V Tudyka (Kingston Hospital); G Garcea (Leicester General Hospital); AP Boddy (Leicester Royal Infirmary); PG Dunning (Lincoln County Hospital); Geraint Lloyd (Lister Hospital, Stevenage); SV Gurjar (Luton &amp; Dunstable Hospital); CJ Smart (Macclesfield District General Hospital); J Hill (Manchester Royal Infirmary); B Andrews (Medway Maritime Hospital, Gillingham); A Singh (Milton Keynes University Hospital); F Ruzvidzo (Monklands Hospital, Airdrie); G Shingler (Morriston Hospital, Swansea); D Mahon (Musgrove Park Hospital, Taunton); S Elgaddal (New Cross Hospital, Wolverhampton); CJ Payne (Ninewells Hospital, Dundee); IA Shaikh (Norfolk And Norwich University Hospital); S Dalmia (North Manchester General Hospital); MS Nair (North Middlesex University Hospital); JG Finch (Northampton General Hospital, Northampton); KS Chapple (Northern General Hospital, Sheffield); S Bawa (Northumbria Specialist Emergency Care Hospital); J Watfah (Northwick Park Hospital, Harrow); CA Carden (Perth Royal Infirmary); R Makhija (Peterborough City Hospital); M Rao (Pilgrim Hospital, Boston); J Sarveswaran (Pinderfields Hospital); V Vijay (Princess Alexandra Hospital, Harlow); S Rekhraj (Princess Of Wales Hospital, Grimsby); T Singhal (Princess Royal University Hospital, Orpington); B Knight (Queen Alexandra Hospital, Portsmouth); TD Pinkney (Queen Elizabeth Hospital Birmingham); MN Siddiqui (Queen Elizabeth Hospital, Woolwich); JF Sebastian (Queen Elizabeth The Queen Mother Hospital); P Glen (Queen Elizabeth University Hospital, Glasgow); S Vakis (Queen's Hospital); H Ebied (Queen's Hospital, Romford); R Vohra (Queen's Medical Centre, Nottingham); R Rajaram (Rotherham District General Hospital); J Gray (Royal Alexandra Hospital, Paisley); D Mcgrath (Royal Berkshire Hospital, Reading); G Faulkner (Royal Bolton Hospital); S Gopalswamy (Royal Cornwall Hospital, Truro); JN Lund (Royal Derby Hospital); NJ Smart (Royal Devon &amp; Exeter Hospital); M Varcada (Royal Free Hospital); A Woodward (Royal Glamorgan Hospital, Ynysmaerdy); GL Williams (Royal Gwent Hospital, Newport); K Szentpali (Royal Hampshire County Hospital, Winchester); R Ravindran (Royal Infirmary Of Edinburgh); C Bronder (Royal Lancaster Infirmary); MA Thaha (Royal London Hospital); A Rate (Royal Oldham Hospital); V Daya Shetty (Royal Preston Hospital); VSR Rao (Royal Stoke University Hospital); MS Sajid (Royal Sussex County Hospital, Brighton); B Clements (Royal Victoria Hospital); RT Patel (Russells Hall Hospital); C Mason (Salford Royal); G Branagan (Salisbury District Hospital); A Torrance (Sandwell General Hospital, West Bromwich); K Maude (Scarborough General Hospital); G Kaur (Scunthorpe General Hospital); A Lyons (Southmead Hospital, Bristol); P Ainsworth (Southport And </w:t>
      </w:r>
      <w:r>
        <w:lastRenderedPageBreak/>
        <w:t xml:space="preserve">Formby District General Hospital); R Hagger (St George's Hospital, London); AZ Zadi (St Helier Hospital, Carshalton); SU Maslekar (St James' University Hospital); J Kinross (St Mary's Hospital, London); S Irukulla (St Peter's Hospital, Chertsey); W Hawkins (St Richard'S Hospital, Chichester); S Wheatstone (St Thomas' Hospital); T Magro (Stoke Mandeville Hospital, Aylesbury); STR Bailey (Tunbridge Wells Hospital, Pembury); G Marshall (Ulster Hospital, Dundonald); J Mccullough (University College Hospital); G Marangoni (University Hospital Coventry and Warwickshire); EL Leung (University Hospital Crosshouse, Kilmarnock); CM Borg (University Hospital Lewisham); S Gopinath (University Hospital Of North Tees); J Torkington (University Hospital Of Wales, Cardiff); J Kirkby-Bott (University Hospital Southampton); S Yalamarthi (Victoria Hospital, Kirkcaldy); S Mirza (Walsall Manor Hospital); M Brett (Warrington Hospital); S Ramcharan (Warwick Hospital); V Pandey (Watford General Hospital); B Thava (West Middlesex University Hospital); D Speake (Western General Hospital, Edinburgh); N Chandratreya (Weston General Hospital, Weston-Super-Mare); SM Andreani (Whipps Cross University Hospital); SJ Sahay (Whittington Hospital); B Aravind (William Harvey Hospital); M Downey (Wishaw General Hospital); D Nicol (Worcestershire Royal Hospital); P Whitehouse (Worthing Hospital); A Sharma (Wythenshawe Hospital, Manchester); N Francis (Yeovil District Hospital); P Chitsabesan (York Hospital); DJ Stewart (Ysbyty Wrexham Maelor Hospital); </w:t>
      </w:r>
      <w:r>
        <w:rPr>
          <w:b/>
          <w:bCs/>
          <w:lang w:val="it-IT"/>
        </w:rPr>
        <w:t>Italy:</w:t>
      </w:r>
      <w:r>
        <w:rPr>
          <w:lang w:val="it-IT"/>
        </w:rPr>
        <w:t xml:space="preserve"> GG Norcia (Alghero Ospedale Civile); E Cucinotta (AOU G. Martino Policlinico di Messina / Universit</w:t>
      </w:r>
      <w:r>
        <w:t xml:space="preserve">à </w:t>
      </w:r>
      <w:r>
        <w:rPr>
          <w:lang w:val="it-IT"/>
        </w:rPr>
        <w:t>degli Studi di Messina); F Cianchi (Aou-Careggi - Florence); U Fumagalli Romario (Asst Spedali Civili di Brescia); L Taglietti (Asst Valle Camonica-Esine); P Capelli (Ausl Piacenza); G Garulli (Ausl Romagna - Ceccarini Hospital - Riccione); A Parisi (Azienda Ospedaliera Santa Maria Terni); D Nitti (Azienda Ospedaliera Universitaria Di Padova); A Guglielmi (Azienda Ospedaliera Universitaria Integrata Verona); A Alonzo (Borgomanero Hospital); IS Scandroglio (Busto Arsizio Hospital); F Roscio (Galmarini Hospital, Tradate); G Moretto (Hospital Pederzoli); L Ansaloni (Hpg XXIII Bergamo); A Pietrabissa (Irccs Policlinico San Matteo - Pavia); D Foschi (L.Sacco University Hospital); N Vettoretto (Montichiari Hospital); G Ercolani (Morgagni-Pierantoni Hospital, Forl</w:t>
      </w:r>
      <w:r>
        <w:t>ì</w:t>
      </w:r>
      <w:r>
        <w:rPr>
          <w:lang w:val="it-IT"/>
        </w:rPr>
        <w:t>); M Coppola (Nostra Signora Della Mercedes Hospital); E Colangelo (Ospedale Civile Spirito Santo di Pescara); E Morandi (Ospedale Di Rho (Milano Asst Rhodense); A Chessa (Ospedale S.Giovanni di Dio-Orbetello); N Tamini (Ospedale San Gerardo); P Niolu (Ospedale Santissima Annunziata Aou Sassari Uoc Chirurgia Generale E D'Urgenza); M Pala (Po Santissima Trinit</w:t>
      </w:r>
      <w:r>
        <w:t xml:space="preserve">à </w:t>
      </w:r>
      <w:r>
        <w:rPr>
          <w:lang w:val="it-IT"/>
        </w:rPr>
        <w:t>- Assl Cagliari); M Coletti (Policlinico Umberto I Universit</w:t>
      </w:r>
      <w:r>
        <w:t xml:space="preserve">à </w:t>
      </w:r>
      <w:r>
        <w:rPr>
          <w:lang w:val="it-IT"/>
        </w:rPr>
        <w:t>'La Sapienza'); A Pisanu (Policlinico Universitario Di Monserrato); A Nicolosi (Policlinico Universitario 'Duilio Casula'); G Sammarco (Pugliese-Ciaccio' Hospital, Catanzaro / University "Magna Graecia" of Catanzaro); S Berti (S. Andrea Hospital Poll-Asl5); P Soliani (S. Maria Delle Croci Ravenna); V Tonini (S.Orsola-Malpighi); CL Bianchi (San Bartolomeo Hospital Sarzana); M Stella (San Carlo Borromeo Hospital, Milan); G Ceccarelli (San Donato Hospital, Arezzo); C De Nisco (San Francesco Hospital, Nuoro); S Scabini (San Martino Genova); G Castagnoli (San Matteo degli Infermi Hospital - Ausl Umbria 2 - Spoleto); P De Nardi (San Raffaele Hospital); F Borghi (Santa Croce And Carle Hospital, Cuneo); F Agresta (Santa Maria Regina degli Angeli Aulss 5 Polesana- Adria Hospital); A Benevento (Sant'Antonio Abate Hospital, Gallarate); S Cantafio (Santo Stefano Hospital); FE D'Amico (Treviso Hospital - Ca Foncello); MC Cesari (U.S.L. Umbria 1 - Citt</w:t>
      </w:r>
      <w:r>
        <w:t xml:space="preserve">à </w:t>
      </w:r>
      <w:r>
        <w:rPr>
          <w:lang w:val="it-IT"/>
        </w:rPr>
        <w:t xml:space="preserve">Di Castello); M Rubbini (University of Ferrara); G Salamone (University of Palermo); G Chetta (V. Emanuele II, Bisceglie); F De Marchi (Vicenza Hospital); </w:t>
      </w:r>
      <w:r>
        <w:rPr>
          <w:b/>
          <w:bCs/>
          <w:lang w:val="pt-PT"/>
        </w:rPr>
        <w:t xml:space="preserve">Portugal: </w:t>
      </w:r>
      <w:r>
        <w:rPr>
          <w:lang w:val="pt-PT"/>
        </w:rPr>
        <w:t xml:space="preserve">MF Nora </w:t>
      </w:r>
      <w:r>
        <w:rPr>
          <w:lang w:val="pt-PT"/>
        </w:rPr>
        <w:lastRenderedPageBreak/>
        <w:t xml:space="preserve">(Centro Hospitalar de Entre o Douro e Vouga E.P.E.); HS Sousa (Centro Hospitalar De São João); CA Nascimento (Centro Hospitalar Lisboa Ocidental); CAO Casimiro (Centro Hospitalar Tondela-Viseu); SD Costa (Centro Hospitalar Vila Nova De Gaia); MJ Rosa (Hospital Da Horta); NMD Carvalho (Hospital Garcia De Orta); JCF Correia (Hospital Pedro Hispano - Uls Matosinhos); AP Gomes (Hospital Prof. Dr. Fernando Fonseca); </w:t>
      </w:r>
      <w:r>
        <w:rPr>
          <w:b/>
          <w:bCs/>
        </w:rPr>
        <w:t xml:space="preserve">Republic of Ireland: </w:t>
      </w:r>
      <w:r>
        <w:t xml:space="preserve">AD Hill (Beaumont Hospital); TN Walsh (Connolly Hospital, Blanchardstown); MA Aremu (Letterkenny University Hospital); J Mulsow (Mater Misericordiae University Hospital); S El-Masry (Our Lady Of Lourdes Hospital); J Gillick (Our Lady's Children's Hospital, Dublin); J Garvin (Portiuncula Hospital); M Caldwell (Sligo University Hospital); B Mehigan (St James' Hospital, Dublin); DC Winter (St Vincent's University Hospital); CB Peirce (University Hospital Limerick); F Cooke (University Hospital Waterford); K Mealy (Wexford General Hospital); </w:t>
      </w:r>
      <w:r>
        <w:rPr>
          <w:b/>
          <w:bCs/>
        </w:rPr>
        <w:t xml:space="preserve">Spain: </w:t>
      </w:r>
      <w:r>
        <w:rPr>
          <w:lang w:val="es-ES_tradnl"/>
        </w:rPr>
        <w:t>A Ruano (Alvaro Cunqueiro Hospital); G Ais (Complejo Asistencial De Segovia); J Fueyo (Complejo Asistencial Universitario De León); E Redondo (Complejo Asistencial Universitario De Palencia); B Sainz (Complejo Hospitalario De Navarra); AE Paraj</w:t>
      </w:r>
      <w:r>
        <w:t xml:space="preserve">ó </w:t>
      </w:r>
      <w:r>
        <w:rPr>
          <w:lang w:val="es-ES_tradnl"/>
        </w:rPr>
        <w:t>(Complexo Hospitalario Universitario De Ourense); A Landaluce-Olavarria (Galdacano); JC Bernal-Sprekelsen (General University Hospital Of Valencia); E Cordoba (H Clinico Universitario Zaragoza); JA Monzón-Abad (H.U. Miguel Servet. Zaragoza); C Cerd</w:t>
      </w:r>
      <w:r>
        <w:t>á</w:t>
      </w:r>
      <w:r>
        <w:rPr>
          <w:lang w:val="es-ES_tradnl"/>
        </w:rPr>
        <w:t>n-Santacruz (Hospital Arnau De Vilanova De Lleida); F Blanco (Hospital Clinico De Valladolid); T Veres (Hospital De Cerdanya); A Melero Abell</w:t>
      </w:r>
      <w:r>
        <w:t>á</w:t>
      </w:r>
      <w:r>
        <w:rPr>
          <w:lang w:val="es-ES_tradnl"/>
        </w:rPr>
        <w:t>n (Hospital General de Villarrobledo); A Arroyo (Hospital General Universitario De Elche); M Ruiz-Mar</w:t>
      </w:r>
      <w:r>
        <w:t>í</w:t>
      </w:r>
      <w:r>
        <w:rPr>
          <w:lang w:val="es-ES_tradnl"/>
        </w:rPr>
        <w:t>n (Hospital General Universitario Reina Sof</w:t>
      </w:r>
      <w:r>
        <w:t>í</w:t>
      </w:r>
      <w:r>
        <w:rPr>
          <w:lang w:val="es-ES_tradnl"/>
        </w:rPr>
        <w:t>a); P Menendez (Hospital Gutierrez Ortega); MC Baz</w:t>
      </w:r>
      <w:r>
        <w:t>á</w:t>
      </w:r>
      <w:r>
        <w:rPr>
          <w:lang w:val="es-ES_tradnl"/>
        </w:rPr>
        <w:t>n-Hinojo (Hospital Puerta Del Mar); JA Navas-Cu</w:t>
      </w:r>
      <w:r>
        <w:rPr>
          <w:lang w:val="fr-FR"/>
        </w:rPr>
        <w:t>é</w:t>
      </w:r>
      <w:r>
        <w:rPr>
          <w:lang w:val="es-ES_tradnl"/>
        </w:rPr>
        <w:t>llar (Hospital Punta De Europa); MI Ramos-Bernado (Hospital Sant Joan Despi, Moises Broggi); JA Lopez-Ruiz (Hospital Univ. Virgen Macarena); T Golda (Hospital Universitari de Bellvitge); D Juli</w:t>
      </w:r>
      <w:r>
        <w:t xml:space="preserve">à </w:t>
      </w:r>
      <w:r>
        <w:rPr>
          <w:lang w:val="es-ES_tradnl"/>
        </w:rPr>
        <w:t>(Hospital Universitari De Girona Doctor Josep Trueta); MM Cuadrado (Hospital Universitari Germans Trias I Pujol); E Espin-Basany (Hospital Universitari Vall D'Hebron); D Fern</w:t>
      </w:r>
      <w:r>
        <w:t>á</w:t>
      </w:r>
      <w:r>
        <w:rPr>
          <w:lang w:val="fr-FR"/>
        </w:rPr>
        <w:t>ndez-Mart</w:t>
      </w:r>
      <w:r>
        <w:t>í</w:t>
      </w:r>
      <w:r>
        <w:rPr>
          <w:lang w:val="es-ES_tradnl"/>
        </w:rPr>
        <w:t>nez (Hospital Universitario Central De Asturias, Oviedo); AF Bravo-Guti</w:t>
      </w:r>
      <w:r>
        <w:rPr>
          <w:lang w:val="fr-FR"/>
        </w:rPr>
        <w:t>é</w:t>
      </w:r>
      <w:r>
        <w:rPr>
          <w:lang w:val="es-ES_tradnl"/>
        </w:rPr>
        <w:t>rrez (Hospital Universitario de Canarias); SA Gómez-Abril (Hospital Universitario Doctor Peset, Valencia); P Dujovne (Hospital Universitario Fundació</w:t>
      </w:r>
      <w:r>
        <w:rPr>
          <w:lang w:val="it-IT"/>
        </w:rPr>
        <w:t>n Alcorcon, Madrid); J Martinez (Hospital Universitario Infanta Sofia); JL Aguayo (Hospital Universitario J.M. Morales Meseguer, Murcia); M Millan (Hospital Universitario Joan XXIII, Tarragona); M Alvarez-Gallego (Hospital universitario La Paz); M Muinelo-Lorenzo (Hospital Universitario Lucus Augusti); JI Martin Parra (Hospital Universitario Marques De Valdecilla); E Mu</w:t>
      </w:r>
      <w:r>
        <w:rPr>
          <w:lang w:val="es-ES_tradnl"/>
        </w:rPr>
        <w:t>ñ</w:t>
      </w:r>
      <w:r>
        <w:rPr>
          <w:lang w:val="de-DE"/>
        </w:rPr>
        <w:t>oz-Mu</w:t>
      </w:r>
      <w:r>
        <w:rPr>
          <w:lang w:val="es-ES_tradnl"/>
        </w:rPr>
        <w:t>ñ</w:t>
      </w:r>
      <w:r>
        <w:rPr>
          <w:lang w:val="it-IT"/>
        </w:rPr>
        <w:t>oz (Hospital Universitario Mutua Terrassa); PE Gonz</w:t>
      </w:r>
      <w:r>
        <w:t>á</w:t>
      </w:r>
      <w:r>
        <w:rPr>
          <w:lang w:val="nl-NL"/>
        </w:rPr>
        <w:t>lez De Chaves-Rodr</w:t>
      </w:r>
      <w:r>
        <w:t>í</w:t>
      </w:r>
      <w:r>
        <w:rPr>
          <w:lang w:val="es-ES_tradnl"/>
        </w:rPr>
        <w:t>guez (Hospital Universitario Nuestra Señ</w:t>
      </w:r>
      <w:r>
        <w:rPr>
          <w:lang w:val="nl-NL"/>
        </w:rPr>
        <w:t>ora De Candelaria); G C</w:t>
      </w:r>
      <w:r>
        <w:t>á</w:t>
      </w:r>
      <w:r>
        <w:rPr>
          <w:lang w:val="es-ES_tradnl"/>
        </w:rPr>
        <w:t>novas-Moreno (Hospital Universitario Parc Tauli); M Rodriguez-Lopez (Hospital Universitario Rio Hortega); JJ Segura-Sampedro (Hospital Universitario Son Espases); A Garc</w:t>
      </w:r>
      <w:r>
        <w:t>í</w:t>
      </w:r>
      <w:r>
        <w:rPr>
          <w:lang w:val="es-ES_tradnl"/>
        </w:rPr>
        <w:t>a-Granero (Hospital Universitario Y Polit</w:t>
      </w:r>
      <w:r>
        <w:rPr>
          <w:lang w:val="fr-FR"/>
        </w:rPr>
        <w:t>é</w:t>
      </w:r>
      <w:r>
        <w:rPr>
          <w:lang w:val="es-ES_tradnl"/>
        </w:rPr>
        <w:t>cnico La Fe); FJ Redondo-Calvo (Hospital Universitarios Ciudad Real); L Tallon-Aguilar (Hospital Virgen Del Roc</w:t>
      </w:r>
      <w:r>
        <w:t>í</w:t>
      </w:r>
      <w:r>
        <w:rPr>
          <w:lang w:val="es-ES_tradnl"/>
        </w:rPr>
        <w:t>o, Sevilla); A Garcea (Torrevieja Hospital).</w:t>
      </w:r>
    </w:p>
    <w:p w14:paraId="550C6433" w14:textId="77777777" w:rsidR="00223779" w:rsidRDefault="00223779">
      <w:pPr>
        <w:pStyle w:val="Text"/>
      </w:pPr>
    </w:p>
    <w:p w14:paraId="576CD7AF" w14:textId="7E22E77B" w:rsidR="00223779" w:rsidRDefault="00000000">
      <w:pPr>
        <w:pStyle w:val="Text"/>
      </w:pPr>
      <w:r>
        <w:rPr>
          <w:b/>
          <w:bCs/>
          <w:lang w:val="it-IT"/>
        </w:rPr>
        <w:t xml:space="preserve">Collaborators </w:t>
      </w:r>
      <w:r>
        <w:rPr>
          <w:b/>
          <w:bCs/>
        </w:rPr>
        <w:t xml:space="preserve">(investigation; writing – review &amp; editing): </w:t>
      </w:r>
      <w:r>
        <w:t xml:space="preserve">V Quan, G Ramsay, P Mekhail, C Richards, M Ghazanfar, JM Wohlgemut (Aberdeen Royal Infirmary); S Dyson, D Thakur, L Sreedharan, C Swords, O Siaw, M Zelazek, R Woo, A Badran (Addenbrooke's Hospital); N Aruparayil, P Christopoulos, B Chambers (Airedale General Hospital, Keighley); N O'Neill, RH Long, RT Gray, P Mccaughey, MJ Lynch Wong, RS Mccain, HC </w:t>
      </w:r>
      <w:r>
        <w:lastRenderedPageBreak/>
        <w:t xml:space="preserve">Lennox-Warburton, C Moore, KM Manektella (Altnagelvin Area Hospital); IW Kamande, S Mcilwaine, S Rupani, DJ Simpson, J Wauchope, M Ng, L Christian, A Crone (Antrim Area Hospital); JB Haddow, R Sacks, S Nazarian, NRA Symons, A Lazzaro (Barnet Hospital); SD Patil, FA Dar, S Roomi (Barnsley District General Hospital); I Silva, JM Hodgson, C Ly, AT Misky, H Froud, H Patel (Basildon University Hospital); S Arunachalam, P Cay, RS Karwal, S Arunachalam, D Danquah-Boateng (Basingstoke And North Hampshire Hospital); BJM Berry, HD Esmail, CS Twum-Barima, H Maripi, D Bilku, MA McKelvie, K Miller, A Maina (Bedford Hospital); R Velho, R Hasan, R Clingan, SMH Jah, K Waite, A Jones (Birmingham Heartlands Hospital); S Buckley-Jones, L Lecky-Thompson, KL Connor (Borders General Hospital, Melrose); N Saghir, S Mansoor, D Mistry, R Brown, A Wong, S Gurung (Bradford Royal Infirmary); F Wensley, TA Fleming, RKL Griggs, A Kosti, S Haines, S Bedoya, A Beverstock, J Johnson (Bristol Royal Infirmary); M Elshaer, G Govind, O Niaz (Broomfield Hospital); DA Colvin, ARS Dyal (Causeway Hospital, Coleraine); E Tokidis, S Punj, A Leusink (Charing Cross Hospital); KTD Yeung, I Rudland, M Kelly, R Morgan, S Al-Musawi, C Lek (Chelsea And Westminster Hospital); A Gilbert, A Gosal, R Mahoney, I Parwaiz (Cheltenham General Hospital); TEM Morrison, MJ Mitchard, B Ribeiro, H Merai, EA Dean, S Khan (Colchester General Hospital); A Baginski, C Mann, W Foers, L Jones, B Woodward (Conquest Hospital, St Leonards On Sea); DM Mcwhirter, AT Thomas, TG Gilbert, LW Weatherburn, JP Pilkington, FC Cameron, TM Gilbert, CS Chean (Countess Of Chester Hospital); JM Clements, JD Clements, C Mccann, S Davidson, L Hackney, JS Clements (Craigavon Area Hospital); A Martin, G Hicks, DT Du (Croydon University Hospital); Z Shakoor, SK Yen, M Adnan, S Ranathunga, S Sana, YH Tay, MY Chin, M Gillespie (Cumberland Infirmary, Carlisle); AG Brown, U Campbell (Daisy Hill Hospital, Newry); N Assaf, M Chatzikonstantinou (Darent Valley Hospital, Dartford); B Mahendran, T Flack (Derriford Hospital); M Chowdhary, JM Lim, EGE Macinnes, E Whiteman, JA Shepherd, A Pedder (Doncaster Royal Infirmary); N Thavanesan, KL Siggens, CW Lai, V Morrison-Jones, Z Hayat (Dorset County Hospital, Dorchester); AS Dubois, I Nehikhare, C Macleod, HC Quinn (Dr Gray's Hospital, Elgin); A Brown, G Neagle, LK Palani-Velu (Forth Valley Royal Hospital, </w:t>
      </w:r>
      <w:r>
        <w:rPr>
          <w:lang w:val="de-DE"/>
        </w:rPr>
        <w:t>Larbert</w:t>
      </w:r>
      <w:r>
        <w:t xml:space="preserve">); SM Chok, FM Carrano, OA Abbassi, GA Divekar, S Halmer (Furness General Hospital, Barrow-In-Furness); LPS Yow, V Pento, RE Adams, PL Davies, SY Wong, R Amarasinghe, LE Tague, E Jones (Glan Clwyd Hospital, Rhyl); RW Radwan, A Martin, E Jones (Glangwili General Hospital, Carmarthen); NB Jamieson, J Singh, K Boza, SD Kelly, F Morrison, W Hei Chan (Glasgow Royal Infirmary); NS Blencowe, M Abdelrahman, EJ Wilson, OO Awokoya, SN Griffiths, EN Kirkham, AE Cotton, A Adimonye, PA Leighton (Gloucestershire Royal Hospital); KA Lee, A Abdelrahman, H Cartwright, Z Gates, M Miguras (Good Hope District General Hospital); ZA Zarka, K Khan, C Louw, T Grove, T Badenoch, J Mckeon (Great Western Hospital, Swindon); NA Mcdowall, CS Wood, RP Leitch (Hairmyres Hospital); P Sgardelis, MI Perera, D Nagarajan, Y Malam (Hinchingbrooke Hospital, Huntingdon); K Theodoropoulou, ML Venn, S Rajagopal, S Kaptanis, D Popova, O Olagbaiye, S Tayeh, S Rigby (Homerton University Hospital); DL Ashmore, MP Harris (Huddersfield Royal Infirmary); SE Whitehorn, KZ Ren, G Liaw, S Zhou, F White (Hull Royal Infirmary); AM Golder, CM Marshall, JH Mitchell, DJ Anderson (Inverclyde Royal Hospital, Greenock); V Kanakala, A Hollingsworth, KR Paramasevon, J Milward, S Ahmed (James Cook University Hospital, Middlesbrough); C Delimpalta, BF Fanibi, N Ferguson (James Paget Hospital, Great Yarmouth); EA Dickson, AV Shaw, OH Kay, F Dixon, S Morrish, R Dandy, P Fooks (John Radcliffe Hospital); P Sharma, N Islam, V </w:t>
      </w:r>
      <w:r>
        <w:lastRenderedPageBreak/>
        <w:t>Tabain, R Keegan, P Sarmah, J Ahel, T Alhammali (Kettering General Hospital); J Graveston, EJ Balai, J Graveston, SM Shah, K Rothnie (King George Hospital, Ilford); GP Pankin, IE Eiben, NJ Jackson, M Dhar, D Nash (King's College Hospital); C Doyle, S Dharamavaram, M Seth, F Chowdhury (King's Mill Hospital, Sutton In Ashfield); M Rezacova, N Seneviratne, EJ Turner (Kingston Hospital); C Currow, E Issa, JD Isherwood (Leicester General Hospital); BM Hobson, H West, DH Lui (Leicester Royal Infirmary); GR Nana, V Rodger, N Ting, HK Brewer, D Photiou (Lincoln County Hospital); EZ Farrow, D Taze, S Lodhia, L Earnshaw, K Kumar, A Neale, J Bastianpillai, M Cipparrone, A Barrie (Lister Hospital, Stevenage); NS Taylor, Z Nash, L Anandan, K Tailor, Z Vinnicombe, S Krivan, R Kuo, A Giorga, H Habib (Luton &amp; Dunstable Hospital); K Malik, M Bogdan (Macclesfield District General Hospital); FP Mahon-Daly, MJ Athersmith, JA Strange, NP Griffiths, C Wheeler, L Summerfield, RA Khaw (Manchester Royal Infirmary); O Ashour, E Iosif, M Fadel, K Gopalakrishnan, N Orme, S Williams, M Rashid (Medway Maritime Hospital, Gillingham); A Sultana, N Patel (Milton Keynes University Hospital); SR Knight, R Pearson (Monklands Hospital, Airdrie); T Yasin, V Bevan, NG Mowbray, B Al-Sarireh (Morriston Hospital, Swansea); JB Olivier, M Brown, N Mohd, EE Howie, M Poudevigne, C Paget (Musgrove Park Hospital, Taunton); H Rallage, K Chui, F Fawzi, S Layman, E Okorocha, GM Jama (New Cross Hospital, Wolverhampton); P Orawiec, O Kouli, A Hassane, KD Clement, J Kilkenny, AA Devine (Ninewells Hospital, Dundee); M Laurenson, I Slezak, T Barker, EYL Lau, M Limbada, J O'Brien, J Weaver, T Barker (Norfolk And Norwich University Hospital); N Panda, J Shah, MM Mansour, SN Malik, S Davis, F Trew, SK Bandyopadhyay, K Dart (North Manchester General Hospital); MJ Connor, S Guru-Naidu, R Callan, MK Nair (North Middlesex University Hospital); M Alani, E Sezen, S Salim, SE Fahmy (Northampton General Hospital, Northampton); J Shurlock, K Siddique, A Forouzanfar, R Brews (Northern General Hospital, Sheffield); WS Ngu (Northumbria Specialist Emergency Care Hospital); A Acharya, A Jain, SO Adegbola, K Sahnan, PJ Tozer, J Warusavitarne (Northwick Park Hospital, Harrow); KM Emslie, O Collier-Wakefield, P Sivaloganathan, C Dobson, M Elseedawy, EM Vaughan (Perth Royal Infirmary); W Stupalkowska, L McNally, M Williams, FH Motiwala, S Choi, A Ahmad Asmadi, D Burnside, A Everden, S Suriyakumar,L Sandu (Peterborough City Hospital); DA Kent, J Bowen, LFC Simmonds, P Long, A Khair (Pilgrim Hospital, Boston); A Malik, K Shah, L Phelan (Pinderfields Hospital); R Pierre, AA Dhari, A Hussein, M Hoff (Princess Alexandra Hospital, Harlow); MJ Karim, S Nickson, T Setshwaelo, A Chalk, MJ Parkola, A Harlinska (Princess Of Wales Hospital, Grimsby); TCW Chan, JG Dudek, R Rolph (Princess Royal University Hospital, Orpington); M Allen, H Pollard, R Ormiston, R Gormely, H Finlayson, G Ljungqvist (Queen Alexandra Hospital, Portsmouth); C Peponis, JC Glasbey, R Tyler, MMA Rahman, S Dhesi, MS Noor Mohamed, F Arshad, RJW Wilkin, AR Faris,T Sooriyamoorthy (Queen Elizabeth Hospital Birmingham); VWS Kung, EL Springate, W Barnieh, AS Patel, ZA Siddiqui, IA Chishti, J Ayube-Brown (Queen Elizabeth Hospital, Woolwich); MR Rabie, L Blake, E Yardimci, S Nagendram (Queen Elizabeth The Queen Mother Hospital); JH Park, GI Neophytou, L Henderson, MMH Farhan-Alanie, CY Kong, R Ghazala (Queen Elizabeth University Hospital, Glasgow); N Lal, J Evans, N Hussain (Queen's Hospital); M Kabir, D Worku (Queen's Hospital, Romford); I Hraishawi, M D'Auria, M Cox, JA Bailey, N Muhibullah, F Yanni (Queen's Medical Centre, Nottingham); A Ang (Rotherham District General Hospital); M Orizu, R Stevenson, A Nair, C Murphy, O Mcgucken (Royal Alexandra Hospital, Paisley); E Gammeri, R Pandya, H Bowerman, G Lafaurie, GI Van Boxel, K Shanmugarajah, D Maragouthakis, Z Hanif (Royal Berkshire Hospital, Reading); JD Evans, S Yoganathan, TD Richardson (Royal Bolton Hospital); CH Choy, V Cook, GL Clark, B Rigney, E O'Neill, J Guliani (Royal Cornwall Hospital, Truro); PJJ Herrod, D Chan, F Harper, T Sian, C Boereboom, JEM Blackwell, E Hardy, H Boyd-Carson, DG Couch,CA Barter,SN Thoukididou,JR Hatt(Royal Derby Hospital); CS Jones, S Dean, N Rajaretnam, S Lawday, M Masood, N Thakral, D Griffith, C Doherty, A Longshaw (Royal Devon &amp; Exeter Hospital); D Peprah, G Mathew, AJ Hann (Royal Free Hospital); A Hook, D Robinson, J Vance-Daniel (Royal Glamorgan Hospital, Ynysmaerdy); YMS Ibrahim, BG Wardle, KJ Walters, HE Whewell, MA Sherif, M Mckenna, JCH Pearce (Royal Gwent Hospital, Newport); D O'Sullivan, C Woodrow (Royal Hampshire County Hospital, Winchester); S Gill, A Johnstone, R Gentry, R Irwin, A Forgie, S Welsh (Royal Infirmary Of Edinburgh); LM Hickey, P Ivey, JK Bullivant (Royal Lancaster Infirmary); WJ English, A Osterberg, A Morowala, Z Al-Faham, S Islam, E Tan, AG Garg, S Sadek (Royal London Hospital); N Sihra, D Shrestha (Royal Oldham Hospital); B Chong, A Nadeem, JA Fasuyi, MM Patel (Royal Preston Hospital); R Daureeawoo, B Okekunle, M Cheruvu, E Mazumdar, F Mahmood, A Hussain, C Patel, M Mcquaid, A Banks,A Robinson (Royal Stoke University Hospital); MS Khan, W Riaz, M Verroiotou, JA Cohen, E Kouroumpas, S Rehman (Royal Sussex County Hospital, Brighton); G Donaldson, I Ghaffari, J Moradzadeh (Royal Victoria Hospital); A Peleki, M Kamal, M Gulamhussein (Russells Hall Hospital); L Pearce, E Gaines, S Ghatorae, S Clark (Salford Royal); OL Sharp, A Savill, B Hutchinson, J Chapman, F Wu, W Creasy, M Raymond, S Grosvenor (Salisbury District Hospital</w:t>
      </w:r>
      <w:r w:rsidR="00756BF2">
        <w:t xml:space="preserve">); Y Malik, H Bansal (Sandwell General Hospital, West Bromwich); </w:t>
      </w:r>
      <w:r>
        <w:t>C Grant, A Raofi, B Ahmed, D Mai (Scarborough General Hospital); DB Thompson, JEH Souter, RN Hamelmann, S Ikram (Scunthorpe General Hospital); O El-Tayar, A De-Manzoni-Garberini (South West Acute, Enniskillen); M Hollyman, M Durbacz, N Gilliland (Southmead Hospital, Bristol); A Salem, D Chudek, SN Rupasinghe (Southport And Formby District General Hospital); N Ladwa, R Storey, C Fontaine, D Toomey, B Miller, A Robinson (St George's Hospital, London); M Oakey, H Smoker (St Helier Hospital, Carshalton); N Amtul, SJ Chapman, SC O'Hagan, W Tahir, GJA Wilcox, A Ahmad, F Akram, TS Baddams (St James' University Hospital); PR Boshier, M Fehervari, S Easdon, RJ Mersh, T Ilozue, ME Adam (St Mary's Hospital, London); RC Newton, S Jokhan, A Foster, K Nambiar, P Bohra, S Janardanan, V Shanmuganathan, F Maqboul (St Peter's Hospital, Chertsey); C Ettles, SD Wardle, E Martinou (St Richard'S Hospital, Chichester); GF Stephens, A Khasria, R Bagga, D Motter, N Mundkur, Y Pan (St Thomas' Hospital); SH Abbas, K Akbari, SM Farrell, A Rahim, A Gummaraju (Stoke Mandeville Hospital, Aylesbury); MR Iqbal, A Mahmoud, O Akinsola, N Smallcombe, M Tarazi, C Hanley (Tunbridge Wells Hospital, Pembury); CE Brown, UM Campbell, NC Mckinley (Ulster Hospital, Dundonald); S Renshaw, D Franklin, JR Davidson (University College Hospital); KA Hureibi, SS Raza, A Krishnamoorthy, Y Rajjoub, M Ali, TC Seddon, RE Payne, A Das (University Hospital Coventry and Warwickshire); LM Martin, KN Naismith, UP Pullabatla Venkata, VM Manda (University Hospital Crosshouse, Kilmarnock); N O Donohoe, KM Burns, J Huang (University Hospital Lewisham); M Samuel, JA Docherty (University Hospital Of North Tees); WL Cheah, R Ooi, M Nyeko-Lacek, L Marsh, A Prideaux, CH Li, A Poacher, M Lee, M Muzaffar,RJ Egan (University Hospital Of Wales, Cardiff); A Kara, E Walsh, A Kara (University Hospital Southampton); H Sunter, NPG Roth, C Roy, D Mcmorran, A Turnbull, M Trail (Victoria Hospital, Kirkcaldy); GR Layton, JE Archer, P Yang (Walsall Manor Hospital); NFT Engall (Warrington Hospital); L Henderson, E Douka, V Amin, K Borghol, P Marriott (Warwick Hospital); DC Townsend, OD Blackford, S Bond, B Baker, WO Mohamed (Watford General Hospital); R Williams, J Garnham, BY Patel, HD Robb, J Allington, L Cloney (West Middlesex University Hospital); A Tamborska, K Kalia, EJM Fung, Z Johnston, L Lynch, A Christides, HL Tan, G Cynthia, B Tsang,KK Ang (Western General Hospital, Edinburgh); C Rossi, M Kaubrys, N Al-Khafaji, M Jenkins (Weston General Hospital, Weston-Super-Mare); JH Choong, SM Chok (Whipps Cross University Hospital); GB Peiris, TM Mohamed, S Gunning, E Nimako, D Pandya (Whittington Hospital); P Hever, A Amayo, C Bull, NJ Hudson-Peacock, C Clements, M Al-Sheikh (William Harvey Hospital); F Savioli, M Long, E Horsfield, C Robertson, S Ogboru, AC Mcilwrath (Wishaw General Hospital); S Bhanderi, S Bailey, J Bell (Worcestershire Royal Hospital); KRM Hebbar, C Limb, N Obeid, JE Rich, A Balasubramaniam (Worthing Hospital); BS Mothe, R Mashar (Wythenshawe Hospital, Manchester); M Taylor, JR Schuster Bruce, CR Weegenaar, G Dennison, NJ Curtis (Yeovil District Hospital); M Saad, E Ezerska, B Ellis, M Brown, S Wiggill, A Tee (York Hospital); S Ng, CFW Carder, A Abdelwahed, CR Bowman, SB Chandler, BJ Tinsley (Ysbyty Wrexham Maelor Hospital);</w:t>
      </w:r>
      <w:r>
        <w:rPr>
          <w:b/>
          <w:bCs/>
          <w:lang w:val="it-IT"/>
        </w:rPr>
        <w:t xml:space="preserve"> Italy: </w:t>
      </w:r>
      <w:r>
        <w:rPr>
          <w:lang w:val="it-IT"/>
        </w:rPr>
        <w:t>G Savino, E Finotti (Santa Maria Regina degli Angeli Aulss 5 Polesana- Adria Hospital); F Serventi, G Occhioni, F Cossu (Alghero Ospedale Civile); I Vulcano, F Viscosi (AOU G. Martino Policlinico di Messina / Universit</w:t>
      </w:r>
      <w:r>
        <w:t xml:space="preserve">à </w:t>
      </w:r>
      <w:r>
        <w:rPr>
          <w:lang w:val="it-IT"/>
        </w:rPr>
        <w:t>degli Studi di Messina); G Pata (Asst Spedali Civili di Brescia); G Baronio, M Michelini, B Compagnoni, C Sepe (Asst Valle Camonica-Esine); SM Isolani, G Regina, D Pertile (Ausl Piacenza); A Lucchi, V Alagna, G Martorelli, C Gabbianelli (Ausl Romagna - Ceccarini Hospital - Riccione); P Moroni, M Zuin (Azienda Ospedaliera Universitaria Di Padova); S Conci, T Campagnaro, G Lazzari (Azienda Ospedaliera Universitaria Integrata Verona); D Costamagna, JH Choong (Borgomanero Hospital); TZ Zurleni, MA Altomare, EGJ Gjoni (Busto Arsizio Hospital); J Desiderio, A Sagnotta, A Di Cintio, A Gemini, S Trastulli (Azienda Ospedaliera Santa Maria Terni); FM Carrano, CE Brown (Galmarini Hospital, Tradate); E Viviani, M Inama (Hospital Pederzoli); F Coccolini, M Tomasoni, G Montori (Hpg XXIII Bergamo); A Sgr</w:t>
      </w:r>
      <w:r>
        <w:t>ò</w:t>
      </w:r>
      <w:r>
        <w:rPr>
          <w:lang w:val="it-IT"/>
        </w:rPr>
        <w:t>, G Harder, F Argenti, S Malabarba (Irccs Policlinico San Matteo - Pavia); P Checcacci, P Montanelli, F Guerra, I Skalamera, F Staderini, S Grandi, T Nelli, F Coratti (Aou-Careggi - Florence); L Sorrentino, A Maffioli, F Colombo, D Cavallo, A Bondurri (L.Sacco University Hospital); G Groppo (Montichiari Hospital); R Curti, L Solaini (Morgagni-Pierantoni Hospital, Forl</w:t>
      </w:r>
      <w:r>
        <w:t>ì</w:t>
      </w:r>
      <w:r>
        <w:rPr>
          <w:lang w:val="it-IT"/>
        </w:rPr>
        <w:t>); A Xidas, S Aresu, T Manias, D Delogu, A Vacca (Nostra Signora Della Mercedes Hospital); L Solinas (Ospedale S.Giovanni di Dio-Orbetello); A De-Manzoni-Garberini (Ospedale Civile Spirito Santo di Pescara); C Corbellini, L Fiore (Ospedale Di Rho (Milano); - Asst Rhodense); A Nigro, L Santurro, M Angrisani, N Tamini (Ospedale San Gerardo); S Mulas, C Sparta, A Lorettu, FA Mura, GV Ruggiu (Ospedale Santissima Annunziata Aou Sassari Uoc Chirurgia Generale E D'Urgenza); PF Pirari, R Pau, M Melis, F Piu, S Patti, A Deserra, N Cillara (Po Santissima Trinit</w:t>
      </w:r>
      <w:r>
        <w:t xml:space="preserve">à </w:t>
      </w:r>
      <w:r>
        <w:rPr>
          <w:lang w:val="it-IT"/>
        </w:rPr>
        <w:t>- Assl Cagliari); D Coletta, D Angelieri, C Del Basso, D Rossi, I Iannone, C De Padua, C Giubilo, F Falaschi, B Cirillo (Policlinico Umberto I Universit</w:t>
      </w:r>
      <w:r>
        <w:t xml:space="preserve">à </w:t>
      </w:r>
      <w:r>
        <w:rPr>
          <w:lang w:val="it-IT"/>
        </w:rPr>
        <w:t>'La Sapienza'); L Gordini, F Podda, S Sanna, E Erdas (Policlinico Universitario 'Duilio Casula'); A Saba, G Poillucci, E Pinna, A Messina (Policlinico Universitario Di Monserrato); G Sena, G Sammarco, R Cardona, G Gallo, E De Luca, R Sacco, G Vescio, M Ammendola, R Romano (Pugliese-Ciaccio' Hospital, Catanzaro / University "Magna Graecia" of Catanzaro); A Bianco, P Bonfante, L D'Ambra, C Feleppa, E Francone, A Gennai, V Lizzi, E Moggia, M Imperatore (S. Andrea Hospital Poll-Asl5); S Bolzon, N Assaf, M Chatzikonstantinou (S. Maria Delle Croci Ravenna); A Birindelli, A Belvedere, E Amaducci, MC Ripoli, E Segalini, M Cervellera, S Vaccari (S.Orsola-Malpighi); CO Eretta, R O'Neill, O Llewelyn, NFT Engall, N Jones (San Bartolomeo Hospital Sarzana); F Clerici, M Ballabio, F Ferrara (San Carlo Borromeo Hospital, Milan); E Andolfi, M Angelini, A Biancafarina, A Fontani, E Miranda, M Scricciolo, G Provenza, GA Pellicanò (San Donato Hospital, Arezzo); F Pulighe, M Podda, G Argenio, A Melis, F Balestra, M Anania, A Cruccu, C Massaiu, ML Murru (San Francesco Hospital, Nuoro); A Martino, AP Luzzi, G La Valle, S Scabini (San Martino Genova); CI Zapana Chillitupa, A Bartoli, D Conti, L Marano, A Spaziani, R Bellochi, C Listorti, G Castagnoli (San Matteo degli Infermi Hospital - Ausl Umbria 2 - Spoleto); MC Salandini, A Miegge, P De Nardi, M Carlucci (San Raffaele Hospital); F Pata, SM Tenconi, M Cannavò (Sant'Antonio Abate Hospital, Gallarate); D Sasia, A Marano, MC Giuffrida, G Cannata, L Pellegrino, G Giraudo (Santa Croce And Carle Hospital, Cuneo); M Baraghini, A Garzi, R Giudicissi, T Zalla, L Romoli, A Vannucchi, I Giani, F Feroci, M Calussi (Santo Stefano Hospital); M Ribaudo, A Fiorot, T Stecca, FE D'Amico, C Nistri, C Fornasier (Treviso Hospital - Ca Foncello); GA Arcuri, SV Valiani, DB Brunelli, LE Evoli, NG Giuliani, AC Contine, CR Renzi (U.S.L. Umbria 1 - Citt</w:t>
      </w:r>
      <w:r>
        <w:t xml:space="preserve">à </w:t>
      </w:r>
      <w:r>
        <w:rPr>
          <w:lang w:val="it-IT"/>
        </w:rPr>
        <w:t xml:space="preserve">Di Castello); CV Feo, G Anania, L Gavagna, P Carcoforo, F Aisoni (University of Ferrara); G Salamone, L Licari, R Tutino, G Cocorullo, V Silvestri, P De Marco, T Fontana, G Orlando, N Falco (University of Palermo); M Baseggio, S Napetti, A Mella, GM Rossi, A Chimetto, E Goldin, M Cosci, M Bonomo (Vicenza Hospital); G Scialandrone, N Chetta (V. Emanuele II, Bisceglie); </w:t>
      </w:r>
      <w:r>
        <w:rPr>
          <w:b/>
          <w:bCs/>
          <w:lang w:val="pt-PT"/>
        </w:rPr>
        <w:t xml:space="preserve">Portugal: </w:t>
      </w:r>
      <w:r>
        <w:rPr>
          <w:lang w:val="pt-PT"/>
        </w:rPr>
        <w:t>ML Matos, LC Carvalho, JS Magalhães, AM Pereira (Centro Hospitalar de Entre o Douro e Vouga E.P.E.); C Fernandes, A Fareleira, D Gon</w:t>
      </w:r>
      <w:r>
        <w:t>ç</w:t>
      </w:r>
      <w:r>
        <w:rPr>
          <w:lang w:val="pt-PT"/>
        </w:rPr>
        <w:t xml:space="preserve">alves, M Pais, A Pereira, FM Resende (Centro Hospitalar De São João); D Correia, D Cardoso (Centro Hospitalar Lisboa Ocidental); AFS Tojal, S Catarino Santos (Centro Hospitalar Tondela-Viseu); LCS Barbosa, HC Louro (Centro Hospitalar Vila Nova De Gaia); F Bairos, FM Martins, FM Messias (Hospital Da Horta); MS Ferreira, FC Borges, P Botelho (Hospital Garcia De Orta); MJRT Lima, PM Valente (Hospital Pedro Hispano - Uls Matosinhos); AA João, JM Guimarães, AS Soares, R Rocha, ST Nogueira (Hospital Prof. Dr. Fernando Fonseca); </w:t>
      </w:r>
      <w:r>
        <w:rPr>
          <w:b/>
          <w:bCs/>
        </w:rPr>
        <w:t xml:space="preserve">Republic of Ireland: </w:t>
      </w:r>
      <w:r>
        <w:t xml:space="preserve">U Kabir, CLL Wong, LS Rahmani, S Tan, S Chng, B Jasinski, SA Cheng, S Mardhiah, K McGlynn (Letterkenny University Hospital); E Hannan, J Burke (Beaumont Hospital); ND Kennedy, Z Haveliwala (Blackrock Clinic); M O'Neill, M Boland (Connolly Hospital, Blanchardstown); C Hayes, AMW Fox (Mater Misericordiae University Hospital); A Zaborowski, RM Mitru, JA De-Marchi, A Mc-Dermott (Our Lady Of Lourdes Hospital); D Coyle, I Stoica, SV McMahon, BR O'Connor, D Mc Laughlin, M Kannegieser-Bailey, R Murphy, A Muntean (Our Lady's Children's Hospital, Dublin); S Shet, L Thomas, S De Freitas (Portiuncula Hospital); S Quill, A Aljorfi, NM Foley (Sligo University Hospital); BWT Soh, JJ Law, J Hartnett, T Jansen, JET Gilgan, J Jung, K Scanlon, A Szucs, J Wong (St James' Hospital, Dublin, Ireland); DP Ahern, AE Redmond (St Vincent's University Hospital); A Szucs, SE Edwards, LA Tiedt, P Manoharan, S Brennan (Tallaght Hospital); JC Bolger, AM Abdelgadir, KL Mckevitt, MA Zarog (University Hospital Limerick); G Ahmed, W Bukhari (University Hospital Waterford); A Ahad, OS Ahmed (Wexford General Hospital); </w:t>
      </w:r>
      <w:r>
        <w:rPr>
          <w:b/>
          <w:bCs/>
        </w:rPr>
        <w:t xml:space="preserve">Spain: </w:t>
      </w:r>
      <w:r>
        <w:rPr>
          <w:lang w:val="es-ES_tradnl"/>
        </w:rPr>
        <w:t>M Paniagua, C Samartin, JC Primo, L Garrido, M Lopez, E Rufo, I Trostchansky, L Rodriguez, H Infante (Alvaro Cunqueiro Hospital); A Acosta, P Cremades, A Cidoncha (Complejo Asistencial De Segovia); V Olmos, I Oliva, C Santamaria, A Cavero, H Calvo (Complejo Asistencial Universitario De León); CA Suero, VM Maderuelo, P Galvez (Complejo Asistencial Universitario De Palencia); A Hernando, I Eguaras, AC Recreo (Complejo Hospitalario De Navarra); M Garc</w:t>
      </w:r>
      <w:r>
        <w:t>í</w:t>
      </w:r>
      <w:r>
        <w:rPr>
          <w:lang w:val="es-ES_tradnl"/>
        </w:rPr>
        <w:t>a-Carrero, R Moreda, M Garc</w:t>
      </w:r>
      <w:r>
        <w:t>í</w:t>
      </w:r>
      <w:r>
        <w:rPr>
          <w:lang w:val="es-ES_tradnl"/>
        </w:rPr>
        <w:t>a (Complexo Hospitalario Universitario De Ourense); U De Andres, E Del Pozo, M Calvo (Galdacano); C Navarro Moratalla, R Núñ</w:t>
      </w:r>
      <w:r>
        <w:rPr>
          <w:lang w:val="nl-NL"/>
        </w:rPr>
        <w:t>ez Ronda, R G</w:t>
      </w:r>
      <w:r>
        <w:rPr>
          <w:lang w:val="es-ES_tradnl"/>
        </w:rPr>
        <w:t>ó</w:t>
      </w:r>
      <w:r>
        <w:rPr>
          <w:lang w:val="fr-FR"/>
        </w:rPr>
        <w:t>mez Contreras, C B</w:t>
      </w:r>
      <w:r>
        <w:t>á</w:t>
      </w:r>
      <w:r>
        <w:rPr>
          <w:lang w:val="es-ES_tradnl"/>
        </w:rPr>
        <w:t>ez De Burgos, GF Valderas Cort</w:t>
      </w:r>
      <w:r>
        <w:rPr>
          <w:lang w:val="fr-FR"/>
        </w:rPr>
        <w:t>é</w:t>
      </w:r>
      <w:r>
        <w:rPr>
          <w:lang w:val="it-IT"/>
        </w:rPr>
        <w:t>s, C Cifre Mart</w:t>
      </w:r>
      <w:r>
        <w:t>í</w:t>
      </w:r>
      <w:r>
        <w:rPr>
          <w:lang w:val="pt-PT"/>
        </w:rPr>
        <w:t>nez, A Rios Agudo, J T</w:t>
      </w:r>
      <w:r>
        <w:t>á</w:t>
      </w:r>
      <w:r>
        <w:rPr>
          <w:lang w:val="es-ES_tradnl"/>
        </w:rPr>
        <w:t>rraga Soriano, XM Hern</w:t>
      </w:r>
      <w:r>
        <w:t>á</w:t>
      </w:r>
      <w:r>
        <w:rPr>
          <w:lang w:val="es-ES_tradnl"/>
        </w:rPr>
        <w:t>ndez Ramos (General University Hospital Of Valencia); E Echazarreta, M Elia, A Hernaez, L Sanchez (H Clinico Universitario Zaragoza); C Vallejo-Bernad, JR Oliver, M S</w:t>
      </w:r>
      <w:r>
        <w:t>á</w:t>
      </w:r>
      <w:r>
        <w:rPr>
          <w:lang w:val="es-ES_tradnl"/>
        </w:rPr>
        <w:t>nchez-Rubio, HK K</w:t>
      </w:r>
      <w:r>
        <w:t>älviä</w:t>
      </w:r>
      <w:r>
        <w:rPr>
          <w:lang w:val="de-DE"/>
        </w:rPr>
        <w:t>inen, S Genzor, T Gonz</w:t>
      </w:r>
      <w:r>
        <w:t>á</w:t>
      </w:r>
      <w:r>
        <w:rPr>
          <w:lang w:val="fr-FR"/>
        </w:rPr>
        <w:t>lez-Nicol</w:t>
      </w:r>
      <w:r>
        <w:t>á</w:t>
      </w:r>
      <w:r>
        <w:rPr>
          <w:lang w:val="es-ES_tradnl"/>
        </w:rPr>
        <w:t>s, E Puerta, E Laviano, T Gimenez (H.U. Miguel Servet. Zaragoza); C Cerd</w:t>
      </w:r>
      <w:r>
        <w:t>á</w:t>
      </w:r>
      <w:r>
        <w:rPr>
          <w:lang w:val="pt-PT"/>
        </w:rPr>
        <w:t>n-Santacruz, A Fermi</w:t>
      </w:r>
      <w:r>
        <w:rPr>
          <w:lang w:val="es-ES_tradnl"/>
        </w:rPr>
        <w:t>ñá</w:t>
      </w:r>
      <w:r>
        <w:rPr>
          <w:lang w:val="fr-FR"/>
        </w:rPr>
        <w:t>n, P Muriel-</w:t>
      </w:r>
      <w:r>
        <w:t>Á</w:t>
      </w:r>
      <w:r>
        <w:rPr>
          <w:lang w:val="es-ES_tradnl"/>
        </w:rPr>
        <w:t>lvarez, JE Sierra-Grañón, J Escoll-Rufino, E Cuello-Guzm</w:t>
      </w:r>
      <w:r>
        <w:t>á</w:t>
      </w:r>
      <w:r>
        <w:rPr>
          <w:lang w:val="es-ES_tradnl"/>
        </w:rPr>
        <w:t>n, N Mestres-Petit, M Merichal-Resina, A Pinillos-Somalo (Hospital Arnau De Vilanova De Lleida); Z Gomez-Carmona, AP Vazquez-Fernandez, JJ Trujillo-Diaz (Hospital Clinico De Valladolid); JLRC Rodr</w:t>
      </w:r>
      <w:r>
        <w:t>í</w:t>
      </w:r>
      <w:r>
        <w:rPr>
          <w:lang w:val="es-ES_tradnl"/>
        </w:rPr>
        <w:t>guez Couso, MIDR Darriba Fern</w:t>
      </w:r>
      <w:r>
        <w:t>á</w:t>
      </w:r>
      <w:r>
        <w:rPr>
          <w:lang w:val="it-IT"/>
        </w:rPr>
        <w:t>ndez (Hospital Comarcal De Valdeorras); E Riera, J Espinosa (Hospital De Cerdanya); A Garc</w:t>
      </w:r>
      <w:r>
        <w:t>í</w:t>
      </w:r>
      <w:r>
        <w:rPr>
          <w:lang w:val="pt-PT"/>
        </w:rPr>
        <w:t>a-Novoa, M Carral-Freire, R Mart</w:t>
      </w:r>
      <w:r>
        <w:t>í</w:t>
      </w:r>
      <w:r>
        <w:rPr>
          <w:lang w:val="pt-PT"/>
        </w:rPr>
        <w:t>nez-Almeida (Hospital Do Saln</w:t>
      </w:r>
      <w:r>
        <w:rPr>
          <w:lang w:val="fr-FR"/>
        </w:rPr>
        <w:t>é</w:t>
      </w:r>
      <w:r>
        <w:t>s); S Santarrufina-Martí</w:t>
      </w:r>
      <w:r>
        <w:rPr>
          <w:lang w:val="es-ES_tradnl"/>
        </w:rPr>
        <w:t>nez, JC Sebasti</w:t>
      </w:r>
      <w:r>
        <w:t>á</w:t>
      </w:r>
      <w:r>
        <w:rPr>
          <w:lang w:val="de-DE"/>
        </w:rPr>
        <w:t>n-Tom</w:t>
      </w:r>
      <w:r>
        <w:t>ás, P Gonzá</w:t>
      </w:r>
      <w:r>
        <w:rPr>
          <w:lang w:val="es-ES_tradnl"/>
        </w:rPr>
        <w:t>lvez-Guardiola (Hospital Universitario Doctor Peset, Valencia); E Corral Fern</w:t>
      </w:r>
      <w:r>
        <w:t>ández, A Sá</w:t>
      </w:r>
      <w:r>
        <w:rPr>
          <w:lang w:val="es-ES_tradnl"/>
        </w:rPr>
        <w:t>nchez Mozo, T Ivanov Stoyanov, P Casado Santamar</w:t>
      </w:r>
      <w:r>
        <w:t>í</w:t>
      </w:r>
      <w:r>
        <w:rPr>
          <w:lang w:val="it-IT"/>
        </w:rPr>
        <w:t>a, E Garc</w:t>
      </w:r>
      <w:r>
        <w:t>í</w:t>
      </w:r>
      <w:r>
        <w:rPr>
          <w:lang w:val="es-ES_tradnl"/>
        </w:rPr>
        <w:t>a Grimaldo (Hospital General de Villarrobledo); L Garc</w:t>
      </w:r>
      <w:r>
        <w:t>í</w:t>
      </w:r>
      <w:r>
        <w:rPr>
          <w:lang w:val="es-ES_tradnl"/>
        </w:rPr>
        <w:t>a-Catal</w:t>
      </w:r>
      <w:r>
        <w:t>á</w:t>
      </w:r>
      <w:r>
        <w:rPr>
          <w:lang w:val="pt-PT"/>
        </w:rPr>
        <w:t>, A Fern</w:t>
      </w:r>
      <w:r>
        <w:t>á</w:t>
      </w:r>
      <w:r>
        <w:rPr>
          <w:lang w:val="fr-FR"/>
        </w:rPr>
        <w:t>ndez-Candela, C Curtis-Mart</w:t>
      </w:r>
      <w:r>
        <w:t>í</w:t>
      </w:r>
      <w:r>
        <w:rPr>
          <w:lang w:val="es-ES_tradnl"/>
        </w:rPr>
        <w:t>nez (Hospital General Universitario De Elche); SR Del-Valle-Ruiz, A S</w:t>
      </w:r>
      <w:r>
        <w:t>á</w:t>
      </w:r>
      <w:r>
        <w:rPr>
          <w:lang w:val="es-ES_tradnl"/>
        </w:rPr>
        <w:t>nchez-Cifuentes, M Ram</w:t>
      </w:r>
      <w:r>
        <w:t>í</w:t>
      </w:r>
      <w:r>
        <w:rPr>
          <w:lang w:val="es-ES_tradnl"/>
        </w:rPr>
        <w:t>rez-Faraco, AJ Fern</w:t>
      </w:r>
      <w:r>
        <w:t>ández L</w:t>
      </w:r>
      <w:r>
        <w:rPr>
          <w:lang w:val="es-ES_tradnl"/>
        </w:rPr>
        <w:t>ópez (Hospital General Universitario Reina Sof</w:t>
      </w:r>
      <w:r>
        <w:t>í</w:t>
      </w:r>
      <w:r>
        <w:rPr>
          <w:lang w:val="es-ES_tradnl"/>
        </w:rPr>
        <w:t>a); C Leon, S Kumar (Hospital Gutierrez Ortega); M Fornell-Ariza, S Aylló</w:t>
      </w:r>
      <w:r>
        <w:rPr>
          <w:lang w:val="de-DE"/>
        </w:rPr>
        <w:t>n-G</w:t>
      </w:r>
      <w:r>
        <w:t>ámez, C Pe</w:t>
      </w:r>
      <w:r>
        <w:rPr>
          <w:lang w:val="es-ES_tradnl"/>
        </w:rPr>
        <w:t>ña-Barturen (Hospital Puerta Del Mar); L Ojea-Ruiz-Yherla, M Saavedra-Chacón, JA Navas-Cu</w:t>
      </w:r>
      <w:r>
        <w:rPr>
          <w:lang w:val="fr-FR"/>
        </w:rPr>
        <w:t>é</w:t>
      </w:r>
      <w:r>
        <w:rPr>
          <w:lang w:val="es-ES_tradnl"/>
        </w:rPr>
        <w:t>llar (Hospital Punta De Europa); J Perez-Calvo, H Gomez-Facundo, L Riba-Combatti, O Crusellas Manas (Hospital Sant Joan Despi, Moises Broggi); B De-Soto-Cardenal, P De-La-Herranz-Guerrero, C Dominguez-Sanchez, JC Gamero-Huaman, A Suarez-Cabrera, AA Ramirez-Redondo, Y Lara-Fernandez, B Bascuas-Rodrigo, BL Lopez-Duran (Hospital Univ. Virgen Macarena); C Caula, A Pigem, J Gil, H Salvador, P Planellas, R Farr</w:t>
      </w:r>
      <w:r>
        <w:rPr>
          <w:lang w:val="fr-FR"/>
        </w:rPr>
        <w:t>é</w:t>
      </w:r>
      <w:r>
        <w:rPr>
          <w:lang w:val="es-ES_tradnl"/>
        </w:rPr>
        <w:t>s (Hospital Universitari De Girona Doctor Josep Trueta); ER Sanchez, A Caballero, M Arnau (Hospital Universitari Germans Trias I Pujol); R Blanco-Colino, I Tapiolas, N Ridaura (Hospital Universitari Vall D'Hebron); L Sobrino Roncero, F Collado-Roura, L Martinez Fijo, M Serrano Navidad, O Barrios Cormenzana, N Llu</w:t>
      </w:r>
      <w:r>
        <w:t>ís Vi</w:t>
      </w:r>
      <w:r>
        <w:rPr>
          <w:lang w:val="es-ES_tradnl"/>
        </w:rPr>
        <w:t>ñas, M Sorribas Grifell, M Alberich Prats, A Alvarez Torrado (Hospital Universitari de Bellvitge); S Sanz-Navarro, E Contreras-Saiz, L Solar-Garc</w:t>
      </w:r>
      <w:r>
        <w:t>í</w:t>
      </w:r>
      <w:r>
        <w:rPr>
          <w:lang w:val="pt-PT"/>
        </w:rPr>
        <w:t>a, M Moreno-Gij</w:t>
      </w:r>
      <w:r>
        <w:rPr>
          <w:lang w:val="es-ES_tradnl"/>
        </w:rPr>
        <w:t>ó</w:t>
      </w:r>
      <w:r>
        <w:t>n, A Suá</w:t>
      </w:r>
      <w:r>
        <w:rPr>
          <w:lang w:val="fr-FR"/>
        </w:rPr>
        <w:t>rez-S</w:t>
      </w:r>
      <w:r>
        <w:t>á</w:t>
      </w:r>
      <w:r>
        <w:rPr>
          <w:lang w:val="es-ES_tradnl"/>
        </w:rPr>
        <w:t>nchez, T D</w:t>
      </w:r>
      <w:r>
        <w:t>í</w:t>
      </w:r>
      <w:r>
        <w:rPr>
          <w:lang w:val="it-IT"/>
        </w:rPr>
        <w:t>az-Vico, D Fern</w:t>
      </w:r>
      <w:r>
        <w:t>á</w:t>
      </w:r>
      <w:r>
        <w:rPr>
          <w:lang w:val="fr-FR"/>
        </w:rPr>
        <w:t>ndez-Mart</w:t>
      </w:r>
      <w:r>
        <w:t>í</w:t>
      </w:r>
      <w:r>
        <w:rPr>
          <w:lang w:val="it-IT"/>
        </w:rPr>
        <w:t>nez, JL Rodicio-Miravalles, C Garc</w:t>
      </w:r>
      <w:r>
        <w:t>í</w:t>
      </w:r>
      <w:r>
        <w:rPr>
          <w:lang w:val="es-ES_tradnl"/>
        </w:rPr>
        <w:t>a-Gutierrez (Hospital Universitario Central De Asturias, Oviedo); U Pila, S Melone, L Martin-Prieto (Hospital Universitario Fundación Alcorcon, Madrid); JA Rojo, M Gonzalez, L Zorrilla (Hospital Universitario Infanta Sofia); V Soria-Aledo, JA Garcia-Marin, M Baeza-Murcia, E Pellicer-Franco, MA Jimenez-Ballester (Hospital Universitario J.M. Morales Meseguer, Murcia); L Asensio-Gomez, S Gortazar-De-Las-Casas, J Guevara-Martinez (Hospital universitario La Paz); M Lopez, L Ramirez, S Verea, F Anguita, G Navarro (Hospital Universitario Lucus Augusti); A Del Castillo Criado, M Cañ</w:t>
      </w:r>
      <w:r>
        <w:rPr>
          <w:lang w:val="it-IT"/>
        </w:rPr>
        <w:t>on Lara, E Toledo Martinez (Hospital Universitario Marques De Valdecilla); A Sanchez-Martinez, L Hernandez-Gimenez, M Galofre-Recasens (Hospital Universitario Mutua Terrassa); I Ferrer-Vilela, LE P</w:t>
      </w:r>
      <w:r>
        <w:rPr>
          <w:lang w:val="fr-FR"/>
        </w:rPr>
        <w:t>é</w:t>
      </w:r>
      <w:r>
        <w:rPr>
          <w:lang w:val="es-ES_tradnl"/>
        </w:rPr>
        <w:t>rez-Sanchez, M Burneo Esteves, A Men</w:t>
      </w:r>
      <w:r>
        <w:rPr>
          <w:lang w:val="fr-FR"/>
        </w:rPr>
        <w:t>é</w:t>
      </w:r>
      <w:r>
        <w:rPr>
          <w:lang w:val="es-ES_tradnl"/>
        </w:rPr>
        <w:t>ndez-Moreno, C Baz-Figueroa, A Rosat, M Savoie Hontoria, N Alonso Garc</w:t>
      </w:r>
      <w:r>
        <w:t>í</w:t>
      </w:r>
      <w:r>
        <w:rPr>
          <w:lang w:val="es-ES_tradnl"/>
        </w:rPr>
        <w:t>a (Hospital Universitario Nuestra Señ</w:t>
      </w:r>
      <w:r>
        <w:rPr>
          <w:lang w:val="it-IT"/>
        </w:rPr>
        <w:t>ora De Candelaria); R Gracia-Roman, M Pascua-Sole, O Pino-Perez (Hospital Universitario Parc Tauli); JM Garc</w:t>
      </w:r>
      <w:r>
        <w:t>í</w:t>
      </w:r>
      <w:r>
        <w:rPr>
          <w:lang w:val="de-DE"/>
        </w:rPr>
        <w:t>a-P</w:t>
      </w:r>
      <w:r>
        <w:rPr>
          <w:lang w:val="fr-FR"/>
        </w:rPr>
        <w:t>é</w:t>
      </w:r>
      <w:r>
        <w:rPr>
          <w:lang w:val="pt-PT"/>
        </w:rPr>
        <w:t>rez, C Pine</w:t>
      </w:r>
      <w:r>
        <w:rPr>
          <w:lang w:val="es-ES_tradnl"/>
        </w:rPr>
        <w:t>ño-Flores, D Ambrona-Zafra (Hospital Universitario Son Espases); L Sanchez-Guillen, J Sancho-Muriel, E Alvarez, A Garc</w:t>
      </w:r>
      <w:r>
        <w:t>í</w:t>
      </w:r>
      <w:r>
        <w:rPr>
          <w:lang w:val="es-ES_tradnl"/>
        </w:rPr>
        <w:t>a-Granero, R Jim</w:t>
      </w:r>
      <w:r>
        <w:rPr>
          <w:lang w:val="fr-FR"/>
        </w:rPr>
        <w:t>énez-Rosell</w:t>
      </w:r>
      <w:r>
        <w:rPr>
          <w:lang w:val="es-ES_tradnl"/>
        </w:rPr>
        <w:t>ón, O Daga (Hospital Universitario Y Polit</w:t>
      </w:r>
      <w:r>
        <w:rPr>
          <w:lang w:val="fr-FR"/>
        </w:rPr>
        <w:t>é</w:t>
      </w:r>
      <w:r>
        <w:rPr>
          <w:lang w:val="it-IT"/>
        </w:rPr>
        <w:t>cnico La Fe); A Alberca-Paramo, S Sanchez-Garcia, E Garc</w:t>
      </w:r>
      <w:r>
        <w:t>í</w:t>
      </w:r>
      <w:r>
        <w:rPr>
          <w:lang w:val="es-ES_tradnl"/>
        </w:rPr>
        <w:t>a-Santos (Hospital Universitarios Ciudad Real); F Pareja-Ciuró, C Olivares-Oliver, L Navarro-Morales, MJ Tamayo-Ló</w:t>
      </w:r>
      <w:r>
        <w:rPr>
          <w:lang w:val="pt-PT"/>
        </w:rPr>
        <w:t>pez, J Tinoco-Gonz</w:t>
      </w:r>
      <w:r>
        <w:t>á</w:t>
      </w:r>
      <w:r>
        <w:rPr>
          <w:lang w:val="pt-PT"/>
        </w:rPr>
        <w:t>lez, CO Garc</w:t>
      </w:r>
      <w:r>
        <w:t>ía-Rivera, I Alarc</w:t>
      </w:r>
      <w:r>
        <w:rPr>
          <w:lang w:val="es-ES_tradnl"/>
        </w:rPr>
        <w:t>ón-Del Agua, F Moreno-Suero, E Pereira-Mosquera (Hospital Virgen Del Roc</w:t>
      </w:r>
      <w:r>
        <w:t>í</w:t>
      </w:r>
      <w:r>
        <w:rPr>
          <w:lang w:val="es-ES_tradnl"/>
        </w:rPr>
        <w:t>o, Sevilla); C Zerpa, E Llacer, A Diaz, A Caro, F Feliu, M Franco, J Escuder, M Abellan, E Padilla (Hospital Universitario Joan XXIII, Tarragona); M Rodriguez-Lopez, S Mambrilla-Herrero, KT Plua-Muniz, M Bailon-Cuadrado, FJ Tejero-Pintor, E Choolani-Bhojwani (Hospital Universitario Rio Hortega); C Vila-Zarate, LJ Delgado-Plasencia (Hospital Universitario de Canarias); L Ponchietti, G Pata (Torrevieja Hospital).</w:t>
      </w:r>
    </w:p>
    <w:p w14:paraId="059B48A4" w14:textId="77777777" w:rsidR="00223779" w:rsidRDefault="00223779">
      <w:pPr>
        <w:pStyle w:val="Text"/>
      </w:pPr>
    </w:p>
    <w:p w14:paraId="313E7CEB" w14:textId="77777777" w:rsidR="00223779" w:rsidRDefault="00000000">
      <w:pPr>
        <w:pStyle w:val="Text"/>
      </w:pPr>
      <w:r>
        <w:rPr>
          <w:b/>
          <w:bCs/>
          <w:lang w:val="it-IT"/>
        </w:rPr>
        <w:t>Data validators (</w:t>
      </w:r>
      <w:r>
        <w:rPr>
          <w:b/>
          <w:bCs/>
        </w:rPr>
        <w:t xml:space="preserve">validation; writing – review &amp; editing): </w:t>
      </w:r>
      <w:r>
        <w:t xml:space="preserve">N Varma (Addenbrooke's Hospital); L Cousins (Altnagelvin Area Hospital); A Busuttil (Basildon University Hospital); C Baird (Birmingham Heartlands Hospital); N Drye (Bradford Royal Infirmary); OD Brown (Bristol Royal Infirmary); S Mansour (Broomfield Hospital); O Anderson (Colchester General Hospital); B Woodward (Conquest Hospital, St Leonards On Sea); R Mahapatra (Countess Of Chester Hospital); JA Clements (Craigavon Area Hospital); N D'Souza (Croydon University Hospital); R Thompson (Daisy Hill Hospital, Newry); DJ Littlehales (Furness General Hospital, Barrow-In-Furness); AM Tang (Glangwili General Hospital, Carmarthen); BE Byrne (Gloucestershire Royal Hospital); CY Tan (Hinchingbrooke Hospital, Huntingdon); P Cunha (Homerton University Hospital); C Ogbuokiri (Huddersfield Royal Infirmary); T Alhammali (Kettering General Hospital); P Eiben (King's College Hospital); F Chowdhury (King's Mill Hospital, Sutton In Ashfield); G Gravante (Leicester Royal Infirmary); H Kho (Lincoln County Hospital); S Lodhia (Lister Hospital, Stevenage); S Dobbs (Manchester Royal Infirmary); T Doulias (Medway Maritime Hospital, Gillingham); JCK Ng (Monklands Hospital, Airdrie); MSJ Wilson (Ninewells Hospital, Dundee); R Venugopal (Norfolk And Norwich University Hospital); N Panda (North Manchester General Hospital); J Wolff (Northampton General Hospital, Northampton); K Akhtar, HD Walji (Peterborough City Hospital); JM Tognarelli (Queen Elizabeth Hospital, Woolwich); KA Knight (Queen Elizabeth University Hospital, Glasgow); A Ansari (Queen's Medical Centre, Nottingham); SA Hussaini (Rotherham District General Hospital); E Wright (Royal Alexandra Hospital, Paisley); E Gammeri (Royal Berkshire Hospital, Reading); H Brewer (Royal Derby Hospital); S Rinkoff (Royal Free Hospital); RL Harries (Royal Gwent Hospital, Newport); CJ Fairfield (Royal Infirmary Of Edinburgh); LM Hickey (Royal Lancaster Infirmary); TEF Abbott (Royal London Hospital); A Jackson (Scunthorpe General Hospital); HL Wright (St Thomas' Hospital); U Walters (University College Hospital); K Carney (University Hospital Of North Tees); PC Logan (Walsall Manor Hospital); Z Mughal (University Hospital Coventry and Warwickshire); E Strachan (West Middlesex University Hospital); M Boland (Western General Hospital, Edinburgh); SM Andreani (Whipps Cross University Hospital); B Chasty (Whittington Hospital); A Sharma (Wythenshawe Hospital, Manchester); JKY Ma (Ysbyty Wrexham Maelor Hospital); </w:t>
      </w:r>
      <w:r>
        <w:rPr>
          <w:b/>
          <w:bCs/>
          <w:lang w:val="it-IT"/>
        </w:rPr>
        <w:t xml:space="preserve">Italy: </w:t>
      </w:r>
      <w:r>
        <w:rPr>
          <w:lang w:val="it-IT"/>
        </w:rPr>
        <w:t>C Mazzeo (AOU G. Martino Policlinico di Messina / Universit</w:t>
      </w:r>
      <w:r>
        <w:t xml:space="preserve">à </w:t>
      </w:r>
      <w:r>
        <w:rPr>
          <w:lang w:val="it-IT"/>
        </w:rPr>
        <w:t>degli Studi di Messina); B Badii (Aou-Careggi - Florence); A Armellini (Asst Spedali Civili di Brescia); M Grassia (Ausl Romagna - Ceccarini Hospital - Riccione); A Perin (Azienda Ospedaliera Universitaria Di Padova); A Ruzzenente (Azienda Ospedaliera Universitaria Integrata Verona); F Roscio (Galmarini Hospital, Tradate); M Magnoli (Irccs Policlinico San Matteo - Pavia); A Avanzolini (Morgagni-Pierantoni Hospital, Forl</w:t>
      </w:r>
      <w:r>
        <w:t>ì</w:t>
      </w:r>
      <w:r>
        <w:rPr>
          <w:lang w:val="it-IT"/>
        </w:rPr>
        <w:t>); S Mulas (Ospedale Santissima Annunziata Aou Sassari Uoc Chirurgia Generale E D'Urgenza); N Cillara (Po Santissima Trinit</w:t>
      </w:r>
      <w:r>
        <w:t xml:space="preserve">à </w:t>
      </w:r>
      <w:r>
        <w:rPr>
          <w:lang w:val="it-IT"/>
        </w:rPr>
        <w:t>- Assl Cagliari); N Depalma (Policlinico Umberto I Universit</w:t>
      </w:r>
      <w:r>
        <w:t xml:space="preserve">à </w:t>
      </w:r>
      <w:r>
        <w:rPr>
          <w:lang w:val="it-IT"/>
        </w:rPr>
        <w:t xml:space="preserve">'La Sapienza'); A Longheu (Policlinico Universitario 'Duilio Casula'); M Papandrea (Pugliese-Ciaccio' Hospital, Catanzaro / University "Magna Graecia" of Catanzaro); L Dova (S. Andrea Hospital Poll-Asl5); M De Prizio (San Donato Hospital, Arezzo); GP Gusai (San Francesco Hospital, Nuoro); L Di Zitti (San Matteo degli Infermi Hospital - Ausl Umbria 2 - Spoleto); P Geretto (Santa Croce And Carle Hospital, Cuneo); A Azabdaftari (Santa Maria Regina degli Angeli Aulss 5 Polesana- Adria Hospital); G Chianese (Sant'Antonio Abate Hospital, Gallarate); C Elbetti (Santo Stefano Hospital); C Ruffolo (Treviso Hospital - Ca Foncello); S Giaccari (University of Ferrara); G Salamone (University of Palermo); </w:t>
      </w:r>
      <w:r>
        <w:rPr>
          <w:b/>
          <w:bCs/>
          <w:lang w:val="pt-PT"/>
        </w:rPr>
        <w:t>Portugal:</w:t>
      </w:r>
      <w:r>
        <w:rPr>
          <w:lang w:val="pt-PT"/>
        </w:rPr>
        <w:t xml:space="preserve"> V Devezas (Centro Hospitalar De São João); JS Ferreira (Centro Hospitalar Vila Nova De Gaia); RSA Peixoto (Hospital Pedro Hispano - Uls Matosinhos); </w:t>
      </w:r>
      <w:r>
        <w:rPr>
          <w:b/>
          <w:bCs/>
        </w:rPr>
        <w:t>Republic of Ireland:</w:t>
      </w:r>
      <w:r>
        <w:t xml:space="preserve"> AD Hill (Beaumont Hospital); A Alshafei (Our Lady's Children's Hospital, Dublin); </w:t>
      </w:r>
      <w:r>
        <w:rPr>
          <w:b/>
          <w:bCs/>
        </w:rPr>
        <w:t>Spain:</w:t>
      </w:r>
      <w:r>
        <w:rPr>
          <w:lang w:val="es-ES_tradnl"/>
        </w:rPr>
        <w:t xml:space="preserve"> G Ais (Complejo Asistencial De Segovia); V Simo (Complejo Asistencial Universitario De Leó</w:t>
      </w:r>
      <w:r>
        <w:rPr>
          <w:lang w:val="it-IT"/>
        </w:rPr>
        <w:t>n); H San Jos</w:t>
      </w:r>
      <w:r>
        <w:rPr>
          <w:lang w:val="fr-FR"/>
        </w:rPr>
        <w:t xml:space="preserve">é </w:t>
      </w:r>
      <w:r>
        <w:rPr>
          <w:lang w:val="es-ES_tradnl"/>
        </w:rPr>
        <w:t>(Complejo Asistencial Universitario De Palencia); B Ugarte-Sierra (Galdacano); A De Andr</w:t>
      </w:r>
      <w:r>
        <w:rPr>
          <w:lang w:val="fr-FR"/>
        </w:rPr>
        <w:t>é</w:t>
      </w:r>
      <w:r>
        <w:rPr>
          <w:lang w:val="de-DE"/>
        </w:rPr>
        <w:t>s G</w:t>
      </w:r>
      <w:r>
        <w:rPr>
          <w:lang w:val="es-ES_tradnl"/>
        </w:rPr>
        <w:t>ómez (General University Hospital Of Valencia); C Cerd</w:t>
      </w:r>
      <w:r>
        <w:t>á</w:t>
      </w:r>
      <w:r>
        <w:rPr>
          <w:lang w:val="es-ES_tradnl"/>
        </w:rPr>
        <w:t>n-Santacruz (Hospital Arnau De Vilanova De Lleida); J Beltran-De-Heredia (Hospital Clinico De Valladolid); MC Baz</w:t>
      </w:r>
      <w:r>
        <w:t>á</w:t>
      </w:r>
      <w:r>
        <w:rPr>
          <w:lang w:val="es-ES_tradnl"/>
        </w:rPr>
        <w:t>n-Hinojo (Hospital Puerta Del Mar); JA Navas-Cu</w:t>
      </w:r>
      <w:r>
        <w:rPr>
          <w:lang w:val="fr-FR"/>
        </w:rPr>
        <w:t>é</w:t>
      </w:r>
      <w:r>
        <w:rPr>
          <w:lang w:val="es-ES_tradnl"/>
        </w:rPr>
        <w:t>llar (Hospital Punta De Europa); JC Gomez-Rosado (Hospital Univ. Virgen Macarena); A Bravo Salva (Hospital Universitari de Bellvitge); N Gó</w:t>
      </w:r>
      <w:r>
        <w:rPr>
          <w:lang w:val="it-IT"/>
        </w:rPr>
        <w:t>mez (Hospital Universitari De Girona Doctor Josep Trueta); F Marinello (Hospital Universitari Vall D'Hebron); V Medina-Arana (Hospital Universitario de Canarias); C Pay</w:t>
      </w:r>
      <w:r>
        <w:t>á</w:t>
      </w:r>
      <w:r>
        <w:rPr>
          <w:lang w:val="es-ES_tradnl"/>
        </w:rPr>
        <w:t>-Llorente (Hospital Universitario Doctor Peset, Valencia); L Vega (Hospital Universitario Fundació</w:t>
      </w:r>
      <w:r>
        <w:rPr>
          <w:lang w:val="it-IT"/>
        </w:rPr>
        <w:t>n Alcorcon, Madrid); M Mengual Ballester (Hospital Universitario J.M. Morales Meseguer, Murcia); B Espina (Hospital Universitario Joan XXIII, Tarragona); MI Prieto-Nieto (Hospital universitario La Paz); M Lopez (Hospital Universitario Lucus Augusti); E Caballero Rodr</w:t>
      </w:r>
      <w:r>
        <w:t>í</w:t>
      </w:r>
      <w:r>
        <w:rPr>
          <w:lang w:val="es-ES_tradnl"/>
        </w:rPr>
        <w:t>guez (Hospital Universitario Nuestra Señora De Candelaria); M Rodriguez-Lopez (Hospital Universitario Rio Hortega); M Frasson (Hospital Universitario Y Polit</w:t>
      </w:r>
      <w:r>
        <w:rPr>
          <w:lang w:val="fr-FR"/>
        </w:rPr>
        <w:t>é</w:t>
      </w:r>
      <w:r>
        <w:rPr>
          <w:lang w:val="es-ES_tradnl"/>
        </w:rPr>
        <w:t>cnico La Fe); D Padilla-Valverde (Hospital Universitarios Ciudad Real); VM Duran-Muñoz-Cruzado (Hospital Virgen Del Roc</w:t>
      </w:r>
      <w:r>
        <w:t>í</w:t>
      </w:r>
      <w:r>
        <w:rPr>
          <w:lang w:val="es-ES_tradnl"/>
        </w:rPr>
        <w:t>o, Sevilla).</w:t>
      </w:r>
    </w:p>
    <w:p w14:paraId="454B05D5" w14:textId="77777777" w:rsidR="00223779" w:rsidRDefault="00223779">
      <w:pPr>
        <w:pStyle w:val="Text"/>
      </w:pPr>
    </w:p>
    <w:p w14:paraId="6A2B9AA3" w14:textId="77777777" w:rsidR="00223779" w:rsidRDefault="00223779">
      <w:pPr>
        <w:pStyle w:val="Text"/>
      </w:pPr>
    </w:p>
    <w:p w14:paraId="25D84C63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75F73E64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>Appendix 2: Supplementary materials</w:t>
      </w:r>
    </w:p>
    <w:p w14:paraId="292166A9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tbl>
      <w:tblPr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8481"/>
        <w:gridCol w:w="865"/>
      </w:tblGrid>
      <w:tr w:rsidR="00223779" w14:paraId="6B48E6B8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C1D44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Supplementary materials titles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B7233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Pages</w:t>
            </w:r>
          </w:p>
        </w:tc>
      </w:tr>
      <w:tr w:rsidR="00223779" w14:paraId="28483F21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7FE2A" w14:textId="77777777" w:rsidR="00223779" w:rsidRDefault="00000000">
            <w:pPr>
              <w:pStyle w:val="Text"/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Table S1: Diagnoses in patients who did not have appendicectomy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8746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</w:tr>
      <w:tr w:rsidR="00223779" w14:paraId="5C6D1FD9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9F64" w14:textId="77777777" w:rsidR="00223779" w:rsidRDefault="00000000">
            <w:pPr>
              <w:pStyle w:val="Text"/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Table S2: Validation of the Adult Appendicitis Score in women aged 16-45 years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A755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 w:rsidR="00223779" w14:paraId="7791A88A" w14:textId="77777777">
        <w:trPr>
          <w:trHeight w:val="599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BBF8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S3: Validation of the Appendicitis Inflammatory Response Score in men aged 16-45 years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07C2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</w:tr>
      <w:tr w:rsidR="00223779" w14:paraId="6BDB8D45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BB22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S4: Validation of the Adult Appendicitis Score in women aged ≥46 years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CAB6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223779" w14:paraId="79F35BDF" w14:textId="77777777">
        <w:trPr>
          <w:trHeight w:val="599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7225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S5: Validation of the Appendicitis Inflammatory Response Score in men aged ≥46 years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2ECCD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</w:tr>
      <w:tr w:rsidR="00223779" w14:paraId="6E03D7BB" w14:textId="77777777">
        <w:trPr>
          <w:trHeight w:val="282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6D55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 xml:space="preserve">Figure S1.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Normal appendicectomy rates stratified by risk scores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F7F9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</w:tr>
      <w:tr w:rsidR="00223779" w14:paraId="40164141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1DB1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S6: Ultrasound scan findings other than appendicitis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D369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 w:rsidR="00223779" w14:paraId="45F32814" w14:textId="77777777">
        <w:trPr>
          <w:trHeight w:val="599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239D9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S7: Diagnostic performance of ultrasound for diagnosis of appendicitis, in sub-group of patients with imaging findings other than appendicitis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0E81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</w:tr>
      <w:tr w:rsidR="00223779" w14:paraId="661685A8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57078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S8: Computed tomography scan findings other than appendicitis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85FF9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</w:tr>
      <w:tr w:rsidR="00223779" w14:paraId="20F442D3" w14:textId="77777777">
        <w:trPr>
          <w:trHeight w:val="599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272B3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 xml:space="preserve">Table S9: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Normal appendicectomy rates by duration of pre-operative clinical observation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6E963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</w:tr>
      <w:tr w:rsidR="00223779" w14:paraId="5372A2F5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538C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 xml:space="preserve">Table S10:  Readmission rates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5F2DC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27</w:t>
            </w:r>
          </w:p>
        </w:tc>
      </w:tr>
      <w:tr w:rsidR="00223779" w14:paraId="3F9B03AA" w14:textId="77777777">
        <w:trPr>
          <w:trHeight w:val="24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8451" w14:textId="77777777" w:rsidR="00223779" w:rsidRDefault="00000000">
            <w:pPr>
              <w:pStyle w:val="Text"/>
              <w:spacing w:line="360" w:lineRule="auto"/>
            </w:pPr>
            <w:r>
              <w:rPr>
                <w:rFonts w:ascii="Arial" w:hAnsi="Arial"/>
                <w:sz w:val="22"/>
                <w:szCs w:val="22"/>
              </w:rPr>
              <w:t>Table S11: Accuracy of intra-operative diagnosis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1D2C" w14:textId="77777777" w:rsidR="00223779" w:rsidRDefault="00000000">
            <w:pPr>
              <w:pStyle w:val="Text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</w:tc>
      </w:tr>
    </w:tbl>
    <w:p w14:paraId="38E87311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89312A4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D3EF1A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02C93F81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7D95F54D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Table S1: Diagnoses in patients who did not undergo </w:t>
      </w:r>
      <w:proofErr w:type="gramStart"/>
      <w:r>
        <w:rPr>
          <w:rFonts w:ascii="Arial" w:hAnsi="Arial"/>
          <w:b/>
          <w:bCs/>
        </w:rPr>
        <w:t>appendicectomy</w:t>
      </w:r>
      <w:proofErr w:type="gramEnd"/>
    </w:p>
    <w:tbl>
      <w:tblPr>
        <w:tblW w:w="90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949"/>
        <w:gridCol w:w="1268"/>
        <w:gridCol w:w="1267"/>
        <w:gridCol w:w="1268"/>
        <w:gridCol w:w="1267"/>
      </w:tblGrid>
      <w:tr w:rsidR="00223779" w14:paraId="3ED71EC5" w14:textId="77777777">
        <w:trPr>
          <w:trHeight w:val="45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8913" w14:textId="77777777" w:rsidR="00223779" w:rsidRDefault="00223779"/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A9A5" w14:textId="77777777" w:rsidR="00223779" w:rsidRDefault="00000000">
            <w:pPr>
              <w:pStyle w:val="Tex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Age 16-45 years</w:t>
            </w:r>
          </w:p>
          <w:p w14:paraId="30C3EFA4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D321B" w14:textId="77777777" w:rsidR="00223779" w:rsidRDefault="00000000">
            <w:pPr>
              <w:pStyle w:val="Tex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Age ≥46 years</w:t>
            </w:r>
          </w:p>
          <w:p w14:paraId="4608133E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223779" w14:paraId="115E1C69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3EF6" w14:textId="77777777" w:rsidR="00223779" w:rsidRDefault="00223779"/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439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40E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E53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76E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Women</w:t>
            </w:r>
          </w:p>
        </w:tc>
      </w:tr>
      <w:tr w:rsidR="00223779" w14:paraId="549F0240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A1FD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497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n=511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486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n=869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1E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n=248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D6D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n=372</w:t>
            </w:r>
          </w:p>
        </w:tc>
      </w:tr>
      <w:tr w:rsidR="00223779" w14:paraId="7F93BE80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37E6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6CE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185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7D9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03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123</w:t>
            </w:r>
          </w:p>
        </w:tc>
      </w:tr>
      <w:tr w:rsidR="00223779" w14:paraId="68FB07C5" w14:textId="77777777">
        <w:trPr>
          <w:trHeight w:val="22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1F4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Gastritis/ gastroenteritis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942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655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B30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765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223779" w14:paraId="5708D6E7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048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Duodenal ulcer disease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9C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BC5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71D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ED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7AD95F2C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5156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Mesenteric adenitis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F58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33F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230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D7E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6B3F22AD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210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Meckel's diverticulum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15B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A15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73B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ABF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04022B4F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236C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Intra-abdominal abscess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CB7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2CE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AAC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46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223779" w14:paraId="6E0CDA78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387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Colitis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DAA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7BE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1AE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869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223779" w14:paraId="1794BF7E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0D5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Confirmed/ suspected colorectal cancer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2BB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9BE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4B3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C76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223779" w14:paraId="2820A5B4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0F0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Diverticulitis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59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75E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529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5AF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</w:tr>
      <w:tr w:rsidR="00223779" w14:paraId="574AEAD9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C5A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Irritable bowel syndrome (IBS)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7AA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0A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1C9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3BE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754CFA1B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064F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Constipation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50C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03C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3A6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CD0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223779" w14:paraId="2CB4CF24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D93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Adhesional symptoms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F3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7B1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469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3CB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4928F77C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5F9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gastrointestinal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D5B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262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4B8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BF2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223779" w14:paraId="0E683B7F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326E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6C65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2EA4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1C27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BE17" w14:textId="77777777" w:rsidR="00223779" w:rsidRDefault="00223779"/>
        </w:tc>
      </w:tr>
      <w:tr w:rsidR="00223779" w14:paraId="07D87C9C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3806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238E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F593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CCF7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DAED" w14:textId="77777777" w:rsidR="00223779" w:rsidRDefault="00223779"/>
        </w:tc>
      </w:tr>
      <w:tr w:rsidR="00223779" w14:paraId="61B26ED5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1D3A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Hepatobiliary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088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B6F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546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085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</w:t>
            </w:r>
          </w:p>
        </w:tc>
      </w:tr>
      <w:tr w:rsidR="00223779" w14:paraId="0E060A61" w14:textId="77777777">
        <w:trPr>
          <w:trHeight w:val="22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C603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Biliary colic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126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741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C0E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D48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223779" w14:paraId="3479B206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E6F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Cholecystitis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15E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058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038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2D8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223779" w14:paraId="33EE7F80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594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Pancreatitis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105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3E2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587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447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7E8B9F52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104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hepatobiliary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C8F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7CA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F31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FD8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03E53065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FBFB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BB4D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611F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CE88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34D" w14:textId="77777777" w:rsidR="00223779" w:rsidRDefault="00223779"/>
        </w:tc>
      </w:tr>
      <w:tr w:rsidR="00223779" w14:paraId="5866B2E9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49FE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4AB3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7C0E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2CC8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CCB3" w14:textId="77777777" w:rsidR="00223779" w:rsidRDefault="00223779"/>
        </w:tc>
      </w:tr>
      <w:tr w:rsidR="00223779" w14:paraId="35A718BF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8436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Gynaecological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F73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CC8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1ED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5E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49</w:t>
            </w:r>
          </w:p>
        </w:tc>
      </w:tr>
      <w:tr w:rsidR="00223779" w14:paraId="5A6615BB" w14:textId="77777777">
        <w:trPr>
          <w:trHeight w:val="22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1F0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Benign ovarian cyst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CF2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81F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60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7D6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223779" w14:paraId="48A60E08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8DD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Polycystic ovarian syndrome (PCOS)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271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CF4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F2C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7C8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4BA0872C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167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Confirmed/ suspected ovarian cancer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604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01C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C01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8D1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223779" w14:paraId="7BF747AF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839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Endometriosis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30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8FB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B60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B31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4F91D77E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F0D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Fibroids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7A7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11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DF7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CE3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223779" w14:paraId="22431399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C98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Menstrual pain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0D5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944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412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765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50E601E0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9C7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Pelvic inflammatory disease (PID)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55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F5E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EA0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B89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223779" w14:paraId="4765A4C0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D9F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gynaecological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F90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632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5CB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47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223779" w14:paraId="4BF7F07E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2A3A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A9B2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D51A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0C35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04D9" w14:textId="77777777" w:rsidR="00223779" w:rsidRDefault="00223779"/>
        </w:tc>
      </w:tr>
      <w:tr w:rsidR="00223779" w14:paraId="56A857DB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EEC3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7246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D38E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BD2F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A2AC" w14:textId="77777777" w:rsidR="00223779" w:rsidRDefault="00223779"/>
        </w:tc>
      </w:tr>
      <w:tr w:rsidR="00223779" w14:paraId="0D830340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F4F51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Urological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995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59F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93B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EE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</w:t>
            </w:r>
          </w:p>
        </w:tc>
      </w:tr>
      <w:tr w:rsidR="00223779" w14:paraId="55E86ED5" w14:textId="77777777">
        <w:trPr>
          <w:trHeight w:val="22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646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Urinary tract infection (UTI)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699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7DF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BB8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36D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223779" w14:paraId="11CA90A9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B8F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Renal stone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E8E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7B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3D9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725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223779" w14:paraId="1F7082EE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4C1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Testicular or epididymal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8D4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D4B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08C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CE9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6C0440E4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9DC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urological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D9C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4BC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231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886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1BCF075C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6ABA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642C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B68A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9BB5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44D8" w14:textId="77777777" w:rsidR="00223779" w:rsidRDefault="00223779"/>
        </w:tc>
      </w:tr>
      <w:tr w:rsidR="00223779" w14:paraId="4C5643B8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15AF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BC6E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AA58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B868" w14:textId="77777777" w:rsidR="00223779" w:rsidRDefault="00223779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175E" w14:textId="77777777" w:rsidR="00223779" w:rsidRDefault="00223779"/>
        </w:tc>
      </w:tr>
      <w:tr w:rsidR="00223779" w14:paraId="2BC21BF9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CA21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172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F6E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B77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D3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155</w:t>
            </w:r>
          </w:p>
        </w:tc>
      </w:tr>
      <w:tr w:rsidR="00223779" w14:paraId="122EF9EF" w14:textId="77777777">
        <w:trPr>
          <w:trHeight w:val="22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E19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Non-specific abdominal pain*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532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267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B01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383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7A0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912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113</w:t>
            </w:r>
          </w:p>
        </w:tc>
      </w:tr>
      <w:tr w:rsidR="00223779" w14:paraId="4F565F14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EFD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Musculoskeletal pain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A0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05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C88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D11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47D55382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5D4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Hernia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476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6B5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236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D3A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223779" w14:paraId="020FF8C0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71A6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Lower respiratory tract infection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DBD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046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63C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7F4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223779" w14:paraId="79DE3BF4" w14:textId="77777777">
        <w:trPr>
          <w:trHeight w:val="45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A07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Confirmed/suspected non-ovarian, non-colorectal cancer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B57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743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733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96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223779" w14:paraId="6E1EC775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FC8B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miscellaneous pathology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58E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922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9BC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620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223779" w14:paraId="3C13B49E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C073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Data missing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D9A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191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420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C2A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</w:tbl>
    <w:p w14:paraId="5B04DD39" w14:textId="77777777" w:rsidR="00223779" w:rsidRDefault="00223779">
      <w:pPr>
        <w:pStyle w:val="Text"/>
        <w:widowControl w:val="0"/>
        <w:spacing w:after="120"/>
        <w:jc w:val="both"/>
        <w:rPr>
          <w:rFonts w:ascii="Arial" w:eastAsia="Arial" w:hAnsi="Arial" w:cs="Arial"/>
          <w:b/>
          <w:bCs/>
        </w:rPr>
      </w:pPr>
    </w:p>
    <w:p w14:paraId="64A7CD04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</w:p>
    <w:p w14:paraId="1470EF38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*Includes patients for whom no formal diagnosis was made</w:t>
      </w:r>
    </w:p>
    <w:p w14:paraId="4B95E5E0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50A0947F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Table S2: Validation of the Adult Appendicitis Score in women aged 16-45 </w:t>
      </w:r>
      <w:proofErr w:type="gramStart"/>
      <w:r>
        <w:rPr>
          <w:rFonts w:ascii="Arial" w:hAnsi="Arial"/>
          <w:b/>
          <w:bCs/>
        </w:rPr>
        <w:t>years</w:t>
      </w:r>
      <w:proofErr w:type="gramEnd"/>
    </w:p>
    <w:p w14:paraId="3B6DA8F9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tbl>
      <w:tblPr>
        <w:tblW w:w="10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702"/>
        <w:gridCol w:w="2111"/>
        <w:gridCol w:w="2111"/>
        <w:gridCol w:w="2111"/>
        <w:gridCol w:w="2112"/>
      </w:tblGrid>
      <w:tr w:rsidR="00223779" w14:paraId="41CFB41E" w14:textId="77777777">
        <w:trPr>
          <w:trHeight w:val="4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8345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AAS cut-off for high-risk group*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FBFBC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Sensitivity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751A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Specificity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4EC6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PPV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F139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NPV</w:t>
            </w:r>
          </w:p>
        </w:tc>
      </w:tr>
      <w:tr w:rsidR="00223779" w14:paraId="577E1F70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3DAD2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88B3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88.5% (85.7-91.0)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23D0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63.1% (61.3-64.9)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B69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34.0% (31.6-36.4)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C733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96.3% (95.3-97.1)</w:t>
            </w:r>
          </w:p>
        </w:tc>
      </w:tr>
      <w:tr w:rsidR="00223779" w14:paraId="0F013FAE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8E69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27BE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80.7% (77.3-83.8)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8395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71.7% (70.0-73.4)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C921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38.0% (35.3-40.7)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CCA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94.6% (93.5-95.5)</w:t>
            </w:r>
          </w:p>
        </w:tc>
      </w:tr>
      <w:tr w:rsidR="00223779" w14:paraId="1E36F132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4A49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B1F6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71.6% (67.8-75.2)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0977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79.6% (78.0-81.8)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0BE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42.9% (39.8-46.1)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2522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92.9% (91.8-93.9)</w:t>
            </w:r>
          </w:p>
        </w:tc>
      </w:tr>
      <w:tr w:rsidR="00223779" w14:paraId="241CF8EC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FE03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9315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59.6% (55.6-63.6)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59EA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86.4% (85.1-87.6)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46FA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48.4% (44.8-52.1)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BD3E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90.9% (89.7-92.0)</w:t>
            </w:r>
          </w:p>
        </w:tc>
      </w:tr>
      <w:tr w:rsidR="00223779" w14:paraId="22839B31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62B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E0A6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45.0% (41.0-49.1)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22EF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91.0% (89.8-92.0)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19FB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51.6% (47.3-56.0)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9EAD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88.5% (87.3-89.7)</w:t>
            </w:r>
          </w:p>
        </w:tc>
      </w:tr>
      <w:tr w:rsidR="00223779" w14:paraId="10DD71C0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5732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F7C8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32.2% (28.5-36.1)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92D5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94.5% (93.6-95.3)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C7A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55.6% (50.2-60.9)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CE22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86.7% (85.4-87.9)</w:t>
            </w:r>
          </w:p>
        </w:tc>
      </w:tr>
      <w:tr w:rsidR="00223779" w14:paraId="4B7AEA19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19C5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72A9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22.1% (18.8-25.6)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9C82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96.7% (96.0-97.3)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0968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59.1% (52.4-65.6)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C67E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85.3% (84.0-86.5)</w:t>
            </w:r>
          </w:p>
        </w:tc>
      </w:tr>
      <w:tr w:rsidR="00223779" w14:paraId="6B3ED49F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3B17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C5A7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13.6% (11.0-16.6)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7ED4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98.6% (98.1-99.0)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5EF3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68.3% (59.2-76.5)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80E7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84.2% (82.9-85.4)</w:t>
            </w:r>
          </w:p>
        </w:tc>
      </w:tr>
      <w:tr w:rsidR="00223779" w14:paraId="5F0A0EB8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FD43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2D36F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7.6% (5.7-10.1)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1AA2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99.4% (99.0-99.6)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92B2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71.9% (59.2-82.4)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A401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83.4% (82.1-84.6)</w:t>
            </w:r>
          </w:p>
        </w:tc>
      </w:tr>
      <w:tr w:rsidR="00223779" w14:paraId="218772F0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38AA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49F78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3.5% (2.2-5.3)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A33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99.9% (99.7-100.0)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8DB69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91.3% (72.0-98.9)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A275A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82.5% (81.5-84.1)</w:t>
            </w:r>
          </w:p>
        </w:tc>
      </w:tr>
      <w:tr w:rsidR="00223779" w14:paraId="2FD52205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125A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F12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1.7% (0.8-3.0)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52D8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(99.8-100.0)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090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90.9% (58.7-99.8)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58C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82.6% (81.3-83.8)</w:t>
            </w:r>
          </w:p>
        </w:tc>
      </w:tr>
      <w:tr w:rsidR="00223779" w14:paraId="302C55DE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86F9C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9FB1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0.7% (0.2-1.7)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2CED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(99.9-100.0)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4EE8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(39.8-100.0)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ECF1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82.4% (81.1-83.7)</w:t>
            </w:r>
          </w:p>
        </w:tc>
      </w:tr>
      <w:tr w:rsidR="00223779" w14:paraId="4833E6CF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E6E0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8716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0.5% (0.1-1.5)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298A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(99.9-100.0)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70A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(29.2-100.0)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BBC4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82.4% (81.1-83.7)</w:t>
            </w:r>
          </w:p>
        </w:tc>
      </w:tr>
      <w:tr w:rsidR="00223779" w14:paraId="344724EE" w14:textId="77777777">
        <w:trPr>
          <w:trHeight w:val="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A715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&gt;21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9C2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0.5% (0.1-1.5)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81F7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(99.9-100.0)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D085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100.0% (29.2-100.0)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64DE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82.4% (81.1-83.7)</w:t>
            </w:r>
          </w:p>
        </w:tc>
      </w:tr>
    </w:tbl>
    <w:p w14:paraId="28609707" w14:textId="77777777" w:rsidR="00223779" w:rsidRDefault="00223779">
      <w:pPr>
        <w:pStyle w:val="Text"/>
        <w:widowControl w:val="0"/>
        <w:rPr>
          <w:rFonts w:ascii="Arial" w:eastAsia="Arial" w:hAnsi="Arial" w:cs="Arial"/>
          <w:b/>
          <w:bCs/>
        </w:rPr>
      </w:pPr>
    </w:p>
    <w:p w14:paraId="1C8EB5D8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29E2F231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AAS: Adult Appendicitis Score; NPV: Negative predictive value; PPV: Positive predictive value. 95% confidence intervals </w:t>
      </w:r>
      <w:r>
        <w:rPr>
          <w:rFonts w:ascii="Arial" w:hAnsi="Arial"/>
          <w:lang w:val="de-DE"/>
        </w:rPr>
        <w:t xml:space="preserve">are </w:t>
      </w:r>
      <w:r>
        <w:rPr>
          <w:rFonts w:ascii="Arial" w:hAnsi="Arial"/>
        </w:rPr>
        <w:t>given in parentheses.</w:t>
      </w:r>
    </w:p>
    <w:p w14:paraId="027209A9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6BE95349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*AAS cut-off ≤8 has previously been identified as the optimum cut-off for identifying women aged 16-45 years at </w:t>
      </w:r>
      <w:proofErr w:type="gramStart"/>
      <w:r>
        <w:rPr>
          <w:rFonts w:ascii="Arial" w:hAnsi="Arial"/>
        </w:rPr>
        <w:t>low-risk</w:t>
      </w:r>
      <w:proofErr w:type="gramEnd"/>
      <w:r>
        <w:rPr>
          <w:rFonts w:ascii="Arial" w:hAnsi="Arial"/>
        </w:rPr>
        <w:t xml:space="preserve"> of appendicitis. The maximum AAS score is 24 points, however, as only 3 patients score over 21 points, the validation terminated at the &gt;21 cut-off.</w:t>
      </w:r>
    </w:p>
    <w:p w14:paraId="712D0EE1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68A0CC24" w14:textId="77777777" w:rsidR="00223779" w:rsidRDefault="00000000">
      <w:pPr>
        <w:pStyle w:val="Text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i/>
          <w:iCs/>
        </w:rPr>
        <w:t>Outcome: The pre-determined value to recommend the use of the risk prediction model to identify patients with appendicitis were a PPV of ≥95% coupled with a sensitivity of ≥30%. In women aged 16-45 years, the AAS risk prediction model did not achieve a PPV of ≥95% coupled with a sensitivity of ≥30% at any cut-off. Therefore, the use of the risk prediction model cannot be recommended to identify women aged 16-45 years with appendicitis.</w:t>
      </w:r>
    </w:p>
    <w:p w14:paraId="7BC46B6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39591E98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2AF76E55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Table S3: Validation of the Appendicitis Inflammatory Response Score in men aged 16-45 </w:t>
      </w:r>
      <w:proofErr w:type="gramStart"/>
      <w:r>
        <w:rPr>
          <w:rFonts w:ascii="Arial" w:hAnsi="Arial"/>
          <w:b/>
          <w:bCs/>
        </w:rPr>
        <w:t>years</w:t>
      </w:r>
      <w:proofErr w:type="gramEnd"/>
    </w:p>
    <w:p w14:paraId="715086CC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407"/>
        <w:gridCol w:w="1903"/>
        <w:gridCol w:w="1903"/>
        <w:gridCol w:w="1903"/>
        <w:gridCol w:w="1904"/>
      </w:tblGrid>
      <w:tr w:rsidR="00223779" w14:paraId="75D7D161" w14:textId="77777777">
        <w:trPr>
          <w:trHeight w:val="66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02AB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AIRS cut-off for high-risk group*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4340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Sensitivity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DDB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Specificity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92CA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PPV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305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NPV</w:t>
            </w:r>
          </w:p>
        </w:tc>
      </w:tr>
      <w:tr w:rsidR="00223779" w14:paraId="50B85706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88668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33A3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99.4% (98.5-99.8)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D27B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24.7% (21.8-27.8)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9B29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56.0% (53.4-58.6)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64D7D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91.6% (94.5-99.2)</w:t>
            </w:r>
          </w:p>
        </w:tc>
      </w:tr>
      <w:tr w:rsidR="00223779" w14:paraId="0FBC12E8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F62D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E930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93.5% (91.6-95.1)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BB96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45.3% (41.9-48.8)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57FC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62.3% (59.5-65.1)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41F2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87.8% (84.3-90.8)</w:t>
            </w:r>
          </w:p>
        </w:tc>
      </w:tr>
      <w:tr w:rsidR="00223779" w14:paraId="23A11312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E0BC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76FD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84.5% (81.8-86.9)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9958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62.8% (59.4-66.1)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ACF8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68.7% (65.7-71.6)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9878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80.7% (77.4-83.7)</w:t>
            </w:r>
          </w:p>
        </w:tc>
      </w:tr>
      <w:tr w:rsidR="00223779" w14:paraId="02046AE8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568E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75B40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67.5% (64.1-70.7)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87D85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76.4% (73.4-79.3)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368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73.4% (70.1-76.6)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DC03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70.9% (67.7-73.8)</w:t>
            </w:r>
          </w:p>
        </w:tc>
      </w:tr>
      <w:tr w:rsidR="00223779" w14:paraId="1D4372E4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071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CB022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46.6% (43.1-50.1)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D97A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85.6% (83.0-87.9)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008F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75.8% (71.7-79.5)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5762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62.4% (59.5-65.2)</w:t>
            </w:r>
          </w:p>
        </w:tc>
      </w:tr>
      <w:tr w:rsidR="00223779" w14:paraId="56CF8C23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B66C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3955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26.0% (23.0-29.2)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6419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93.3% (91.4-95)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017A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79.1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%(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73.7-83.8)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81F9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56.6% (54.0-59.3)</w:t>
            </w:r>
          </w:p>
        </w:tc>
      </w:tr>
      <w:tr w:rsidR="00223779" w14:paraId="72D5F2D8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FF6B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9198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11.9% (9.7-14.3)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4654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97.3% (96.0-98.3)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2DE83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81.2% (72.9-87.8)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1C81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53.3% (50.8-55.9)</w:t>
            </w:r>
          </w:p>
        </w:tc>
      </w:tr>
      <w:tr w:rsidR="00223779" w14:paraId="47A4FE59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2362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4C01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3.5% (2.3-5.0)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FA6CE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99.3% (98.4-99.7)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31A4E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82.4% (65.5-93.2)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F0AF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51.6% (49.1-54.1)</w:t>
            </w:r>
          </w:p>
        </w:tc>
      </w:tr>
    </w:tbl>
    <w:p w14:paraId="1FBE7AE5" w14:textId="77777777" w:rsidR="00223779" w:rsidRDefault="00223779">
      <w:pPr>
        <w:pStyle w:val="Text"/>
        <w:widowControl w:val="0"/>
        <w:rPr>
          <w:rFonts w:ascii="Arial" w:eastAsia="Arial" w:hAnsi="Arial" w:cs="Arial"/>
          <w:b/>
          <w:bCs/>
        </w:rPr>
      </w:pPr>
    </w:p>
    <w:p w14:paraId="697D5F82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09C5E089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AIRS: Appendicitis Inflammatory Response Score; NPV: Negative predictive value; PPV: Positive predictive value. 95% confidence intervals </w:t>
      </w:r>
      <w:r>
        <w:rPr>
          <w:rFonts w:ascii="Arial" w:hAnsi="Arial"/>
          <w:lang w:val="de-DE"/>
        </w:rPr>
        <w:t xml:space="preserve">are </w:t>
      </w:r>
      <w:r>
        <w:rPr>
          <w:rFonts w:ascii="Arial" w:hAnsi="Arial"/>
        </w:rPr>
        <w:t>given in parentheses.</w:t>
      </w:r>
    </w:p>
    <w:p w14:paraId="0743A73D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49737CDE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*AIRS cut-off ≤2 has previously been identified as the optimum cut-off for identifying men aged 16-45 years at </w:t>
      </w:r>
      <w:proofErr w:type="gramStart"/>
      <w:r>
        <w:rPr>
          <w:rFonts w:ascii="Arial" w:hAnsi="Arial"/>
        </w:rPr>
        <w:t>low-risk</w:t>
      </w:r>
      <w:proofErr w:type="gramEnd"/>
      <w:r>
        <w:rPr>
          <w:rFonts w:ascii="Arial" w:hAnsi="Arial"/>
        </w:rPr>
        <w:t xml:space="preserve"> of appendicitis. The maximum AIRS score is 10 points.</w:t>
      </w:r>
    </w:p>
    <w:p w14:paraId="6E8A22D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4679C46" w14:textId="77777777" w:rsidR="00223779" w:rsidRDefault="00000000">
      <w:pPr>
        <w:pStyle w:val="Text"/>
      </w:pPr>
      <w:r>
        <w:rPr>
          <w:rFonts w:ascii="Arial" w:hAnsi="Arial"/>
          <w:i/>
          <w:iCs/>
        </w:rPr>
        <w:t>Outcome: The pre-determined value to recommend the use of the risk prediction model to identify patients with appendicitis were a PPV of ≥95% coupled with a sensitivity of ≥30%. In men aged 16-45 years, the AIRS risk prediction model did not achieve a PPV of ≥95% at any cut-off. Therefore, the use of the risk prediction model cannot be recommended to identify men aged 16-45 years with appendicitis.</w:t>
      </w:r>
      <w:r>
        <w:rPr>
          <w:rFonts w:ascii="Arial Unicode MS" w:eastAsia="Arial Unicode MS" w:hAnsi="Arial Unicode MS" w:cs="Arial Unicode MS"/>
        </w:rPr>
        <w:br w:type="page"/>
      </w:r>
    </w:p>
    <w:p w14:paraId="55E3012B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Table S4: Validation of the Adult Appendicitis Score in women aged ≥46 </w:t>
      </w:r>
      <w:proofErr w:type="gramStart"/>
      <w:r>
        <w:rPr>
          <w:rFonts w:ascii="Arial" w:hAnsi="Arial"/>
          <w:b/>
          <w:bCs/>
        </w:rPr>
        <w:t>years</w:t>
      </w:r>
      <w:proofErr w:type="gramEnd"/>
    </w:p>
    <w:p w14:paraId="00B0C35D" w14:textId="77777777" w:rsidR="00223779" w:rsidRDefault="00223779">
      <w:pPr>
        <w:pStyle w:val="Text"/>
        <w:rPr>
          <w:rFonts w:ascii="Arial" w:eastAsia="Arial" w:hAnsi="Arial" w:cs="Arial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407"/>
        <w:gridCol w:w="1903"/>
        <w:gridCol w:w="1903"/>
        <w:gridCol w:w="1903"/>
        <w:gridCol w:w="1904"/>
      </w:tblGrid>
      <w:tr w:rsidR="00223779" w14:paraId="7079B565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37A1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AAS cut-off*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06E4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Sensitivity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33A3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Specificity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C929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PPV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173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NPV</w:t>
            </w:r>
          </w:p>
        </w:tc>
      </w:tr>
      <w:tr w:rsidR="00223779" w14:paraId="7AA1CD79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0E38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53A8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96.4% (93.5-98.3)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27B3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41.3% (37.6-45.2)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6E060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40.8% (37-44.6)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B4AC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96.5% (93.7-98.3)</w:t>
            </w:r>
          </w:p>
        </w:tc>
      </w:tr>
      <w:tr w:rsidR="00223779" w14:paraId="241D9BDD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498D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8299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95.4% (92.2-97.5)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FD27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49.1% (45.2-53.0)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9951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44.0% (40.0-48)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FA65B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96.2% (93.6-98.0)</w:t>
            </w:r>
          </w:p>
        </w:tc>
      </w:tr>
      <w:tr w:rsidR="00223779" w14:paraId="5F342271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13A7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C9E2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90.0% (85.9-93.3)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C1D7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60.2% (56.4-63.9)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3ACF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48.6% (44.3-53.0)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BF127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93.5% (90.7-95.6)</w:t>
            </w:r>
          </w:p>
        </w:tc>
      </w:tr>
      <w:tr w:rsidR="00223779" w14:paraId="23C02653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A204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4BB0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82.5% (77.5-86.8)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7CBC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68.0% (64.3-71.5)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1F2E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51.9% (47.2-56.6)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05EC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90.3% (87.3-92.7)</w:t>
            </w:r>
          </w:p>
        </w:tc>
      </w:tr>
      <w:tr w:rsidR="00223779" w14:paraId="15795529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AFC9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82C4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68.6% (62.8-74.0)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9785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77.5% (74.2-80.7)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2796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56.1% (50.7-61.5)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90DF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85.5% (82.4-88.2)</w:t>
            </w:r>
          </w:p>
        </w:tc>
      </w:tr>
      <w:tr w:rsidR="00223779" w14:paraId="672015A9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4C19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474F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54.3% (48.3-60.2)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7BB6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84.7% (81.9-87.5)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E88C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60.1% (53.8-66.2)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0168D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81.6% (78.5-84.4)</w:t>
            </w:r>
          </w:p>
        </w:tc>
      </w:tr>
      <w:tr w:rsidR="00223779" w14:paraId="4FA175BE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BE38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400B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45.7% (39.8-51.7)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D3EE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91.2% (88.8-93.2)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41C6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68.4% (61.3-75.0)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C39E6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80.0% (77-82.8)</w:t>
            </w:r>
          </w:p>
        </w:tc>
      </w:tr>
      <w:tr w:rsidR="00223779" w14:paraId="74BB89DA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2ED21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D9A1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31.4% (26.0-37.2)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C210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93.0% (90.8-94.8)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B907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65.2% (56.5-73.2)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0E77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76.4% (73.3-79.3)</w:t>
            </w:r>
          </w:p>
        </w:tc>
      </w:tr>
      <w:tr w:rsidR="00223779" w14:paraId="07EF7A1B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46C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212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20.7% (16.1-25.9)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14FD2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94.8% (92.8-96.3)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15BB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62.4% (51.7-72.2)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8A0D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74.0% (71.0-76.9)</w:t>
            </w:r>
          </w:p>
        </w:tc>
      </w:tr>
      <w:tr w:rsidR="00223779" w14:paraId="02D2C784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C060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0C29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9.64% (6.5-13.7)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5F89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97.5% (96.0-98.5)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E9BB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61.4% (45.5-75.6)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778D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72.0% (69.0-74.6)</w:t>
            </w:r>
          </w:p>
        </w:tc>
      </w:tr>
      <w:tr w:rsidR="00223779" w14:paraId="14DD1C5C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3CC16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4A4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6.79% (4.1-10.4)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FEF9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98.4% (97.1-99.2)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686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63.3% (43.9-80.1)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12F3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71.6% (68.5-74.5)</w:t>
            </w:r>
          </w:p>
        </w:tc>
      </w:tr>
      <w:tr w:rsidR="00223779" w14:paraId="1CC14238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5C4E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060D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4.3% (2.2-7.3)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0AA9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99.3% (98.3-7.37)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C6F6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70.6% (44.0-89.7)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A2CB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71.2% (68.2-74.1)</w:t>
            </w:r>
          </w:p>
        </w:tc>
      </w:tr>
      <w:tr w:rsidR="00223779" w14:paraId="12A0D53B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60F9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03AD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2.5% (1.0-5.1)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E2C0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99.6% (98.7-99.9)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C3E9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70.0% (34.8-93.3)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B1C1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70.9% (67.9-73.8)</w:t>
            </w:r>
          </w:p>
        </w:tc>
      </w:tr>
      <w:tr w:rsidR="00223779" w14:paraId="32343F13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0E1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&gt;21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92D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0.7% (0.1-2.6)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43B8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99.9% (99.2-100.0)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DC20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66.7% (9.4-99.2)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961A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70.6% (67.6-73.5)</w:t>
            </w:r>
          </w:p>
        </w:tc>
      </w:tr>
    </w:tbl>
    <w:p w14:paraId="19649C0A" w14:textId="77777777" w:rsidR="00223779" w:rsidRDefault="00223779">
      <w:pPr>
        <w:pStyle w:val="Text"/>
        <w:widowControl w:val="0"/>
        <w:rPr>
          <w:rFonts w:ascii="Arial" w:eastAsia="Arial" w:hAnsi="Arial" w:cs="Arial"/>
        </w:rPr>
      </w:pPr>
    </w:p>
    <w:p w14:paraId="43C2E0D5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263823DF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AAS: Adult Appendicitis Score; NPV: Negative predictive value; PPV: Positive predictive value. 95% confidence intervals </w:t>
      </w:r>
      <w:r>
        <w:rPr>
          <w:rFonts w:ascii="Arial" w:hAnsi="Arial"/>
          <w:lang w:val="de-DE"/>
        </w:rPr>
        <w:t xml:space="preserve">are </w:t>
      </w:r>
      <w:r>
        <w:rPr>
          <w:rFonts w:ascii="Arial" w:hAnsi="Arial"/>
        </w:rPr>
        <w:t>given in parentheses.</w:t>
      </w:r>
    </w:p>
    <w:p w14:paraId="52C4E958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6738ABCF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*AAS cut-off ≤8 has previously been identified as the optimum cut-off for identifying women aged 16-45 years at </w:t>
      </w:r>
      <w:proofErr w:type="gramStart"/>
      <w:r>
        <w:rPr>
          <w:rFonts w:ascii="Arial" w:hAnsi="Arial"/>
        </w:rPr>
        <w:t>low-risk</w:t>
      </w:r>
      <w:proofErr w:type="gramEnd"/>
      <w:r>
        <w:rPr>
          <w:rFonts w:ascii="Arial" w:hAnsi="Arial"/>
        </w:rPr>
        <w:t xml:space="preserve"> of appendicitis. The maximum AAS score is 24 points, however, as only 3 patients score over 21 points, the validation terminated at the ≤21 cut-off.</w:t>
      </w:r>
    </w:p>
    <w:p w14:paraId="0424120C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76D514C6" w14:textId="77777777" w:rsidR="00223779" w:rsidRDefault="00000000">
      <w:pPr>
        <w:pStyle w:val="Text"/>
      </w:pPr>
      <w:r>
        <w:rPr>
          <w:rFonts w:ascii="Arial" w:hAnsi="Arial"/>
          <w:i/>
          <w:iCs/>
        </w:rPr>
        <w:t>Outcome: The pre-determined value to recommend the use of the risk prediction model to identify patients with appendicitis were a PPV of ≥95% coupled with a sensitivity of ≥30%. In women aged ≥46 years, the AAS risk prediction model did not achieve a PPV of ≥95% at any cut-off. Therefore, the use of the risk prediction model cannot be recommended to identify women aged ≥46 years with appendicitis.</w:t>
      </w:r>
      <w:r>
        <w:rPr>
          <w:rFonts w:ascii="Arial Unicode MS" w:eastAsia="Arial Unicode MS" w:hAnsi="Arial Unicode MS" w:cs="Arial Unicode MS"/>
        </w:rPr>
        <w:br w:type="page"/>
      </w:r>
    </w:p>
    <w:p w14:paraId="678AD58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42EA7EF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Table S5: Validation of the Appendicitis Inflammatory Response Score in men aged ≥46 </w:t>
      </w:r>
      <w:proofErr w:type="gramStart"/>
      <w:r>
        <w:rPr>
          <w:rFonts w:ascii="Arial" w:hAnsi="Arial"/>
          <w:b/>
          <w:bCs/>
        </w:rPr>
        <w:t>years</w:t>
      </w:r>
      <w:proofErr w:type="gramEnd"/>
    </w:p>
    <w:p w14:paraId="1CED5A63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407"/>
        <w:gridCol w:w="1903"/>
        <w:gridCol w:w="1903"/>
        <w:gridCol w:w="1903"/>
        <w:gridCol w:w="1904"/>
      </w:tblGrid>
      <w:tr w:rsidR="00223779" w14:paraId="1807CF95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1444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AIRS cut-off*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95607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Sensitivity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274B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Specificity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3A4B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PPV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3927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NPV</w:t>
            </w:r>
          </w:p>
        </w:tc>
      </w:tr>
      <w:tr w:rsidR="00223779" w14:paraId="0D7DB920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3388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BA1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99.6% (98.0-100.0)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36AA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18.3% (14.3-22.9)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EB2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49.7% (45.4-54.0)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3F5E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98.4% (91.3-100.0)</w:t>
            </w:r>
          </w:p>
        </w:tc>
      </w:tr>
      <w:tr w:rsidR="00223779" w14:paraId="30E2A1C3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3AD0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2E74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95.9% (92.8-97.9)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F459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35.1% (30.0-40.5)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C9D2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54.5% (49.9-59.1)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499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91.4% (85.1-95.6)</w:t>
            </w:r>
          </w:p>
        </w:tc>
      </w:tr>
      <w:tr w:rsidR="00223779" w14:paraId="0D5FA13D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4807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1522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88.1 (83.7-91.8)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8DAB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46.5% (41.1-52.1)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A6C5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57.2% (52.3-62.0)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B120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82.9% (76.7-88.0)</w:t>
            </w:r>
          </w:p>
        </w:tc>
      </w:tr>
      <w:tr w:rsidR="00223779" w14:paraId="79380685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95C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FD48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71.9% (66.1-77.1)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F941B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63.4% (57.9-68.5)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B014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61.4% (55.8-66.8)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D5EB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73.5% (68.0-78.5)</w:t>
            </w:r>
          </w:p>
        </w:tc>
      </w:tr>
      <w:tr w:rsidR="00223779" w14:paraId="6FFD649A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F0D6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91463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51.5% (45.3-57.6)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E745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78.1% (73.2-82.4)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1B30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65.6% (58.8-71.9)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CE3D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66.5% (61.6-71.2)</w:t>
            </w:r>
          </w:p>
        </w:tc>
      </w:tr>
      <w:tr w:rsidR="00223779" w14:paraId="2F64D986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0967C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EEC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34.1% (28.4-40.1)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54F4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88.6% (84.7-91.8)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E635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70.8% (62.2-78.4)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56A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62.4% (57.8-66.8)</w:t>
            </w:r>
          </w:p>
        </w:tc>
      </w:tr>
      <w:tr w:rsidR="00223779" w14:paraId="0937292F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9BD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762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17.8% (13.4-22.9)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BAEB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94.9% (92.0-97.0)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CA03C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73.8% (61.5-84.0)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F178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58.7% (54.4-62.9)</w:t>
            </w:r>
          </w:p>
        </w:tc>
      </w:tr>
      <w:tr w:rsidR="00223779" w14:paraId="6F303D2D" w14:textId="77777777">
        <w:trPr>
          <w:trHeight w:val="22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3A2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≤9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FF2AE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6.7% (4.0-10.3)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EC07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98.8% (97.0-99.7)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A13C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81.8% (59.7-94.8)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6B4B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56.6% (52.5-60.7)</w:t>
            </w:r>
          </w:p>
        </w:tc>
      </w:tr>
    </w:tbl>
    <w:p w14:paraId="28A7DFFC" w14:textId="77777777" w:rsidR="00223779" w:rsidRDefault="00223779">
      <w:pPr>
        <w:pStyle w:val="Text"/>
        <w:widowControl w:val="0"/>
        <w:rPr>
          <w:rFonts w:ascii="Arial" w:eastAsia="Arial" w:hAnsi="Arial" w:cs="Arial"/>
          <w:b/>
          <w:bCs/>
        </w:rPr>
      </w:pPr>
    </w:p>
    <w:p w14:paraId="4B488AF5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3907ACA0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AIRS: Appendicitis Inflammatory Response Score; NPV: Negative predictive value; PPV: Positive predictive value. 95% confidence intervals </w:t>
      </w:r>
      <w:r>
        <w:rPr>
          <w:rFonts w:ascii="Arial" w:hAnsi="Arial"/>
          <w:lang w:val="de-DE"/>
        </w:rPr>
        <w:t xml:space="preserve">are </w:t>
      </w:r>
      <w:r>
        <w:rPr>
          <w:rFonts w:ascii="Arial" w:hAnsi="Arial"/>
        </w:rPr>
        <w:t>given in parentheses.</w:t>
      </w:r>
    </w:p>
    <w:p w14:paraId="767644DF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323D1B8B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 xml:space="preserve">*AIRS cut-off &gt;2 has previously been identified as the optimum cut-off for identifying men aged 16-45 years at </w:t>
      </w:r>
      <w:proofErr w:type="gramStart"/>
      <w:r>
        <w:rPr>
          <w:rFonts w:ascii="Arial" w:hAnsi="Arial"/>
        </w:rPr>
        <w:t>low-risk</w:t>
      </w:r>
      <w:proofErr w:type="gramEnd"/>
      <w:r>
        <w:rPr>
          <w:rFonts w:ascii="Arial" w:hAnsi="Arial"/>
        </w:rPr>
        <w:t xml:space="preserve"> of appendicitis. The maximum AIRS score is 10 points.</w:t>
      </w:r>
    </w:p>
    <w:p w14:paraId="6D5678FD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296C656B" w14:textId="77777777" w:rsidR="00223779" w:rsidRDefault="00000000">
      <w:pPr>
        <w:pStyle w:val="Text"/>
      </w:pPr>
      <w:r>
        <w:rPr>
          <w:rFonts w:ascii="Arial" w:hAnsi="Arial"/>
          <w:i/>
          <w:iCs/>
        </w:rPr>
        <w:t>Outcome: The pre-determined value to recommend the use of the risk prediction model to identify patients with appendicitis were a PPV of ≥95% coupled with a sensitivity of ≥30%. In men aged ≥46 years, the AIRS risk prediction model did not achieve a PPV of ≥95% at any cut-off. Therefore, the use of the risk prediction model cannot be recommended to identify men aged ≥46 years with appendicitis.</w:t>
      </w:r>
      <w:r>
        <w:rPr>
          <w:rFonts w:ascii="Arial Unicode MS" w:eastAsia="Arial Unicode MS" w:hAnsi="Arial Unicode MS" w:cs="Arial Unicode MS"/>
        </w:rPr>
        <w:br w:type="page"/>
      </w:r>
    </w:p>
    <w:p w14:paraId="3E7B75BD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Table S6: Ultrasound scan findings other than appendicitis*</w:t>
      </w:r>
    </w:p>
    <w:p w14:paraId="2160B286" w14:textId="77777777" w:rsidR="00223779" w:rsidRDefault="00223779">
      <w:pPr>
        <w:pStyle w:val="Text"/>
        <w:rPr>
          <w:rFonts w:ascii="Arial" w:eastAsia="Arial" w:hAnsi="Arial" w:cs="Arial"/>
        </w:rPr>
      </w:pPr>
    </w:p>
    <w:tbl>
      <w:tblPr>
        <w:tblW w:w="90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949"/>
        <w:gridCol w:w="1268"/>
        <w:gridCol w:w="1267"/>
        <w:gridCol w:w="1268"/>
        <w:gridCol w:w="1267"/>
      </w:tblGrid>
      <w:tr w:rsidR="00223779" w14:paraId="7228D1EB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7083" w14:textId="77777777" w:rsidR="00223779" w:rsidRDefault="00223779"/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FD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Age 16-45 years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9C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Age ≥46 years</w:t>
            </w:r>
          </w:p>
        </w:tc>
      </w:tr>
      <w:tr w:rsidR="00223779" w14:paraId="1F0C171F" w14:textId="77777777">
        <w:trPr>
          <w:trHeight w:val="23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173D" w14:textId="77777777" w:rsidR="00223779" w:rsidRDefault="00223779"/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442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Men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0AA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Women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2704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Men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9E03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Women</w:t>
            </w:r>
          </w:p>
        </w:tc>
      </w:tr>
      <w:tr w:rsidR="00223779" w14:paraId="43BA2421" w14:textId="77777777">
        <w:trPr>
          <w:trHeight w:val="22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B204" w14:textId="77777777" w:rsidR="00223779" w:rsidRDefault="00223779"/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0E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B1C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31A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BD8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n=36</w:t>
            </w:r>
          </w:p>
        </w:tc>
      </w:tr>
      <w:tr w:rsidR="00223779" w14:paraId="2F6CF65F" w14:textId="77777777">
        <w:trPr>
          <w:trHeight w:val="21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E226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B5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A0F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F10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6B3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</w:tr>
      <w:tr w:rsidR="00223779" w14:paraId="45103E56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68B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Inflammatory bowel disease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2E66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3C7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58E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944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29562146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3B3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Suspected colorectal cancer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7BE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4AD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0DB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301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106D997F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4D6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Diverticulitis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38A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A1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F64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A781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1E209723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44C6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Intra-abdominal abscess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3D2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666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F6A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5D9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56270ACE" w14:textId="77777777">
        <w:trPr>
          <w:trHeight w:val="21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DF2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gastrointestinal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836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1B1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B64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532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2D013060" w14:textId="77777777">
        <w:trPr>
          <w:trHeight w:val="21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574E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Hepatobiliary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165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DAA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0FD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155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</w:tr>
      <w:tr w:rsidR="00223779" w14:paraId="02E049F4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AC3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Gallstones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9B1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5E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61C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0D9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0D7D808D" w14:textId="77777777">
        <w:trPr>
          <w:trHeight w:val="21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BEE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hepatobiliary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672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713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960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BA8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3E797517" w14:textId="77777777">
        <w:trPr>
          <w:trHeight w:val="21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6615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Gynaecological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0AB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2B0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6A2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9A77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</w:tr>
      <w:tr w:rsidR="00223779" w14:paraId="0A989BFC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C16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Benign ovarian cyst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7D2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A24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1DB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DD9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223779" w14:paraId="0642F2C5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D9E2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Pelvic Inflammatory disease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639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129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CF7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546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2224F14C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27C3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Suspected ovarian cancer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468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3EA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3F9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57E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07B08D7D" w14:textId="77777777">
        <w:trPr>
          <w:trHeight w:val="21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AE0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gynaecological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00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A3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2A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4C7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223779" w14:paraId="0313D5B6" w14:textId="77777777">
        <w:trPr>
          <w:trHeight w:val="21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B6B9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Urological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A78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DB7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E32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471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</w:tr>
      <w:tr w:rsidR="00223779" w14:paraId="70481361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5BD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Urinary tract infection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28B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055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8C5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B67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64576708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6A0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Renal stones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3BE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8FD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2E4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886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223779" w14:paraId="7A41CE45" w14:textId="77777777">
        <w:trPr>
          <w:trHeight w:val="218"/>
        </w:trPr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88E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urology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EE7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4DC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88C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923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223779" w14:paraId="351CE0E7" w14:textId="77777777">
        <w:trPr>
          <w:trHeight w:val="218"/>
        </w:trPr>
        <w:tc>
          <w:tcPr>
            <w:tcW w:w="39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3729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F0B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827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CA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63F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</w:tr>
      <w:tr w:rsidR="00223779" w14:paraId="5CB47435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DB48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Hernia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191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9F0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BBE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0C6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223779" w14:paraId="10CEF64E" w14:textId="77777777">
        <w:trPr>
          <w:trHeight w:val="213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017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Miscellaneous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7DB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A55E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68C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46B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14:paraId="6ECBC76E" w14:textId="77777777" w:rsidR="00223779" w:rsidRDefault="00223779">
      <w:pPr>
        <w:pStyle w:val="Text"/>
        <w:widowControl w:val="0"/>
        <w:rPr>
          <w:rFonts w:ascii="Arial" w:eastAsia="Arial" w:hAnsi="Arial" w:cs="Arial"/>
        </w:rPr>
      </w:pPr>
    </w:p>
    <w:p w14:paraId="1AAEB08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3AB74F10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</w:p>
    <w:p w14:paraId="2560E3BE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 total of 158 ultrasound scans were reported to show appendicitis (these patients are not included in the table)</w:t>
      </w:r>
    </w:p>
    <w:p w14:paraId="110DBC14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56F50CC0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Table S7: Diagnostic performance of ultrasound for diagnosis of appendicitis, in sub-group of patients with imaging findings other than appendicitis</w:t>
      </w:r>
    </w:p>
    <w:p w14:paraId="11F71884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  <w:b/>
          <w:bCs/>
        </w:rPr>
      </w:pPr>
    </w:p>
    <w:tbl>
      <w:tblPr>
        <w:tblW w:w="50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689"/>
        <w:gridCol w:w="2338"/>
      </w:tblGrid>
      <w:tr w:rsidR="00223779" w14:paraId="0F140BD2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42F9B" w14:textId="77777777" w:rsidR="00223779" w:rsidRDefault="00223779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33B3B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Ultrasound</w:t>
            </w:r>
          </w:p>
        </w:tc>
      </w:tr>
      <w:tr w:rsidR="00223779" w14:paraId="3819059D" w14:textId="77777777">
        <w:trPr>
          <w:trHeight w:val="6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6326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Proportion of scanned patients with final diagnosis of appendicitis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8A5A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11.7% (38/324)</w:t>
            </w:r>
          </w:p>
        </w:tc>
      </w:tr>
      <w:tr w:rsidR="00223779" w14:paraId="1B37E45B" w14:textId="77777777">
        <w:trPr>
          <w:trHeight w:val="223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9261D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Scan findings for appendicitis</w:t>
            </w:r>
          </w:p>
        </w:tc>
      </w:tr>
      <w:tr w:rsidR="00223779" w14:paraId="1C3311A5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4024E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Positive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50525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2.5% (8/324)</w:t>
            </w:r>
          </w:p>
        </w:tc>
      </w:tr>
      <w:tr w:rsidR="00223779" w14:paraId="362857DB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8991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Equivocal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50EE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66.7% (216/324)</w:t>
            </w:r>
          </w:p>
        </w:tc>
      </w:tr>
      <w:tr w:rsidR="00223779" w14:paraId="01B2C9C0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F340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Negative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C486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29.9% (97/324)</w:t>
            </w:r>
          </w:p>
        </w:tc>
      </w:tr>
      <w:tr w:rsidR="00223779" w14:paraId="6F99185B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289E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Missing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1B49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0.9% (3/324)</w:t>
            </w:r>
          </w:p>
        </w:tc>
      </w:tr>
      <w:tr w:rsidR="00223779" w14:paraId="75CAEC1E" w14:textId="77777777">
        <w:trPr>
          <w:trHeight w:val="223"/>
        </w:trPr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85AA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Performance for appendicitis</w:t>
            </w:r>
          </w:p>
        </w:tc>
      </w:tr>
      <w:tr w:rsidR="00223779" w14:paraId="27445AA6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13C3B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AUC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0442D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 0.55 (0.50-0.60)</w:t>
            </w:r>
          </w:p>
        </w:tc>
      </w:tr>
      <w:tr w:rsidR="00223779" w14:paraId="7E20AFAB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56662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Sensitivity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9A37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 10.5% (2.9-24.8)</w:t>
            </w:r>
          </w:p>
        </w:tc>
      </w:tr>
      <w:tr w:rsidR="00223779" w14:paraId="20B502D4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0301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Specificity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239E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 98.6% (96.4-99.6)</w:t>
            </w:r>
          </w:p>
        </w:tc>
      </w:tr>
      <w:tr w:rsidR="00223779" w14:paraId="073ABEB2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A4EA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PPV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8ACD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 50.0% (15.7-84.3)</w:t>
            </w:r>
          </w:p>
        </w:tc>
      </w:tr>
      <w:tr w:rsidR="00223779" w14:paraId="3527808D" w14:textId="77777777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2744C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NPV*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48C4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 89.1% (85.2-92.4)</w:t>
            </w:r>
          </w:p>
        </w:tc>
      </w:tr>
    </w:tbl>
    <w:p w14:paraId="477B707F" w14:textId="77777777" w:rsidR="00223779" w:rsidRDefault="00223779">
      <w:pPr>
        <w:pStyle w:val="Text"/>
        <w:widowControl w:val="0"/>
        <w:spacing w:after="120"/>
        <w:jc w:val="both"/>
        <w:rPr>
          <w:rFonts w:ascii="Arial" w:eastAsia="Arial" w:hAnsi="Arial" w:cs="Arial"/>
          <w:b/>
          <w:bCs/>
        </w:rPr>
      </w:pPr>
    </w:p>
    <w:p w14:paraId="659798B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03CAA9DB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10E2F653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</w:rPr>
        <w:t>*Main analysis based on scans reported as either ‘</w:t>
      </w:r>
      <w:r>
        <w:rPr>
          <w:rFonts w:ascii="Arial" w:hAnsi="Arial"/>
          <w:lang w:val="it-IT"/>
        </w:rPr>
        <w:t>negative</w:t>
      </w:r>
      <w:r>
        <w:rPr>
          <w:rFonts w:ascii="Arial" w:hAnsi="Arial"/>
        </w:rPr>
        <w:t>’ (i.e. excluding appendicitis) or ‘</w:t>
      </w:r>
      <w:r>
        <w:rPr>
          <w:rFonts w:ascii="Arial" w:hAnsi="Arial"/>
          <w:lang w:val="es-ES_tradnl"/>
        </w:rPr>
        <w:t>equivocal</w:t>
      </w:r>
      <w:r>
        <w:rPr>
          <w:rFonts w:ascii="Arial" w:hAnsi="Arial"/>
        </w:rPr>
        <w:t xml:space="preserve">’ (i.e. unable to either exclude or confirm appendicitis) both being classified as negative </w:t>
      </w:r>
      <w:proofErr w:type="gramStart"/>
      <w:r>
        <w:rPr>
          <w:rFonts w:ascii="Arial" w:hAnsi="Arial"/>
        </w:rPr>
        <w:t>scans;</w:t>
      </w:r>
      <w:proofErr w:type="gramEnd"/>
      <w:r>
        <w:rPr>
          <w:rFonts w:ascii="Arial" w:hAnsi="Arial"/>
        </w:rPr>
        <w:t xml:space="preserve"> yielding NPV 89.1% for ultrasound. If only scans reported as ‘</w:t>
      </w:r>
      <w:r>
        <w:rPr>
          <w:rFonts w:ascii="Arial" w:hAnsi="Arial"/>
          <w:lang w:val="it-IT"/>
        </w:rPr>
        <w:t>negative</w:t>
      </w:r>
      <w:r>
        <w:rPr>
          <w:rFonts w:ascii="Arial" w:hAnsi="Arial"/>
        </w:rPr>
        <w:t>’ are classified as negative, then the NPV for ultrasound was 99.0% (95% confidence interval 94.4%-100%).</w:t>
      </w:r>
    </w:p>
    <w:p w14:paraId="6E1097BB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0D99C903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Table S8: Computed tomography scan findings other than appendicitis</w:t>
      </w:r>
    </w:p>
    <w:p w14:paraId="5FC1371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323"/>
        <w:gridCol w:w="160"/>
        <w:gridCol w:w="1130"/>
        <w:gridCol w:w="1493"/>
        <w:gridCol w:w="160"/>
        <w:gridCol w:w="1130"/>
        <w:gridCol w:w="1624"/>
      </w:tblGrid>
      <w:tr w:rsidR="00223779" w14:paraId="54F1C5E7" w14:textId="77777777">
        <w:trPr>
          <w:trHeight w:val="233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D76F" w14:textId="77777777" w:rsidR="00223779" w:rsidRDefault="00223779"/>
        </w:tc>
        <w:tc>
          <w:tcPr>
            <w:tcW w:w="27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81E2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Age 16-45 years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9CA8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Age ≥46 years</w:t>
            </w:r>
          </w:p>
        </w:tc>
      </w:tr>
      <w:tr w:rsidR="00223779" w14:paraId="19373734" w14:textId="77777777">
        <w:trPr>
          <w:trHeight w:val="23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05D5" w14:textId="77777777" w:rsidR="00223779" w:rsidRDefault="00223779"/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B13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Men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857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Women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4BF7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Men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B3C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Women</w:t>
            </w:r>
          </w:p>
        </w:tc>
      </w:tr>
      <w:tr w:rsidR="00223779" w14:paraId="57B3F75F" w14:textId="77777777">
        <w:trPr>
          <w:trHeight w:val="228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D86ED" w14:textId="77777777" w:rsidR="00223779" w:rsidRDefault="00223779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256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n=114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1BF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n=145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9F0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n=166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E61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n=224</w:t>
            </w:r>
          </w:p>
        </w:tc>
      </w:tr>
      <w:tr w:rsidR="00223779" w14:paraId="2010A2DD" w14:textId="77777777">
        <w:trPr>
          <w:trHeight w:val="218"/>
        </w:trPr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D5A0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13F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F24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7DE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634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117</w:t>
            </w:r>
          </w:p>
        </w:tc>
      </w:tr>
      <w:tr w:rsidR="00223779" w14:paraId="015F2B72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CCBB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Inflammatory bowel disease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F09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5FD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C79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284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223779" w14:paraId="4483624F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621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Suspected colorectal cancer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117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A4C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0FA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5DB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223779" w14:paraId="549C029C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5912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Diverticulitis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08B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340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47A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E4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</w:tr>
      <w:tr w:rsidR="00223779" w14:paraId="7526DECF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0DB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Obstruction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FA3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212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179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7CD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223779" w14:paraId="098AF2A8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91B3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Intra-abdominal abscess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6C7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4B5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76E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891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223779" w14:paraId="3E27E6E4" w14:textId="77777777">
        <w:trPr>
          <w:trHeight w:val="218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D7B2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gastrointestinal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982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53B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E3D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01C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</w:tr>
      <w:tr w:rsidR="00223779" w14:paraId="63C685FA" w14:textId="77777777">
        <w:trPr>
          <w:trHeight w:val="218"/>
        </w:trPr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8A21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Hepatobiliary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CA8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CC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F9D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F13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</w:t>
            </w:r>
          </w:p>
        </w:tc>
      </w:tr>
      <w:tr w:rsidR="00223779" w14:paraId="3BB850E6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EB956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Gallstones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F93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F50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6BF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214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223779" w14:paraId="667E8C08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528F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Pancreatitis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0AF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AFD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026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E21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23779" w14:paraId="1D1CB122" w14:textId="77777777">
        <w:trPr>
          <w:trHeight w:val="218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FC8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hepatobiliary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96E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80F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B4D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45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223779" w14:paraId="38688FB7" w14:textId="77777777">
        <w:trPr>
          <w:trHeight w:val="218"/>
        </w:trPr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1BAC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Gynaecological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89C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472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3F7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D7C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39</w:t>
            </w:r>
          </w:p>
        </w:tc>
      </w:tr>
      <w:tr w:rsidR="00223779" w14:paraId="1C68780D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3AD2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Benign ovarian cyst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4DE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F5E1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AE4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EC0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223779" w14:paraId="46186C9F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445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Pelvic inflammatory disease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B19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F4F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FB3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4979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223779" w14:paraId="0E81F8CD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F7D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Suspected ovarian cancer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B20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400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A22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D38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223779" w14:paraId="14763EE4" w14:textId="77777777">
        <w:trPr>
          <w:trHeight w:val="218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95A2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gynaecological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346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2BD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2973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582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223779" w14:paraId="028BB55A" w14:textId="77777777">
        <w:trPr>
          <w:trHeight w:val="218"/>
        </w:trPr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7F6E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Urological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673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A08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8A8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1FF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</w:t>
            </w:r>
          </w:p>
        </w:tc>
      </w:tr>
      <w:tr w:rsidR="00223779" w14:paraId="7D58E7B9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EBC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Urinary tract infection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FFF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B34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3B2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517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223779" w14:paraId="33E689D2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90B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Renal stones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23D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5F1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145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855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223779" w14:paraId="4CBDC9FE" w14:textId="77777777">
        <w:trPr>
          <w:trHeight w:val="218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FDF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urology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4A1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178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331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CBA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223779" w14:paraId="4D70D384" w14:textId="77777777">
        <w:trPr>
          <w:trHeight w:val="218"/>
        </w:trPr>
        <w:tc>
          <w:tcPr>
            <w:tcW w:w="3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E693" w14:textId="77777777" w:rsidR="00223779" w:rsidRDefault="00000000">
            <w:pPr>
              <w:pStyle w:val="Tex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4BF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8C1B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D80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484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</w:tr>
      <w:tr w:rsidR="00223779" w14:paraId="2D0C0360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6077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Other suspected malignancy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BC8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248B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FA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420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223779" w14:paraId="585683D6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44E1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Hernia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3EC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7C3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CE1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94E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223779" w14:paraId="049092C8" w14:textId="77777777">
        <w:trPr>
          <w:trHeight w:val="213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96BE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Miscellaneous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9D0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597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770D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2B9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</w:tr>
    </w:tbl>
    <w:p w14:paraId="395BC259" w14:textId="77777777" w:rsidR="00223779" w:rsidRDefault="00223779">
      <w:pPr>
        <w:pStyle w:val="Text"/>
        <w:widowControl w:val="0"/>
        <w:rPr>
          <w:rFonts w:ascii="Arial" w:eastAsia="Arial" w:hAnsi="Arial" w:cs="Arial"/>
          <w:b/>
          <w:bCs/>
        </w:rPr>
      </w:pPr>
    </w:p>
    <w:p w14:paraId="103B92F2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588113BF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ADF6B50" w14:textId="77777777" w:rsidR="00223779" w:rsidRDefault="00000000">
      <w:pPr>
        <w:pStyle w:val="Text"/>
        <w:spacing w:after="120" w:line="360" w:lineRule="auto"/>
        <w:jc w:val="both"/>
        <w:rPr>
          <w:b/>
          <w:bCs/>
        </w:rPr>
      </w:pPr>
      <w:r>
        <w:rPr>
          <w:b/>
          <w:bCs/>
        </w:rPr>
        <w:t>Table S9: Normal appendicectomy rates by duration of pre-operative clinical observation</w:t>
      </w:r>
    </w:p>
    <w:tbl>
      <w:tblPr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511"/>
        <w:gridCol w:w="1603"/>
        <w:gridCol w:w="1701"/>
        <w:gridCol w:w="1416"/>
        <w:gridCol w:w="1418"/>
        <w:gridCol w:w="1702"/>
      </w:tblGrid>
      <w:tr w:rsidR="00223779" w14:paraId="573D243B" w14:textId="77777777">
        <w:trPr>
          <w:trHeight w:val="26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CF9B" w14:textId="77777777" w:rsidR="00223779" w:rsidRDefault="00000000">
            <w:pPr>
              <w:pStyle w:val="Tex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Table </w:t>
            </w:r>
            <w:r>
              <w:rPr>
                <w:i/>
                <w:iCs/>
                <w:sz w:val="20"/>
                <w:szCs w:val="20"/>
              </w:rPr>
              <w:t>S9</w:t>
            </w:r>
            <w:r>
              <w:rPr>
                <w:b/>
                <w:bCs/>
                <w:i/>
                <w:iCs/>
                <w:sz w:val="20"/>
                <w:szCs w:val="20"/>
              </w:rPr>
              <w:t>: Normal appendicectomy rates by duration of pre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>operative clinical observation</w:t>
            </w:r>
          </w:p>
        </w:tc>
      </w:tr>
      <w:tr w:rsidR="00223779" w14:paraId="5904F0C8" w14:textId="77777777">
        <w:trPr>
          <w:trHeight w:val="255"/>
        </w:trPr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CABE" w14:textId="77777777" w:rsidR="00223779" w:rsidRDefault="00000000">
            <w:pPr>
              <w:pStyle w:val="Text"/>
              <w:jc w:val="right"/>
            </w:pPr>
            <w:r>
              <w:rPr>
                <w:i/>
                <w:iCs/>
                <w:sz w:val="20"/>
                <w:szCs w:val="20"/>
              </w:rPr>
              <w:t>Duration of clinical observation</w:t>
            </w:r>
          </w:p>
        </w:tc>
        <w:tc>
          <w:tcPr>
            <w:tcW w:w="330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B6AA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Age 16-45 years</w:t>
            </w:r>
          </w:p>
        </w:tc>
        <w:tc>
          <w:tcPr>
            <w:tcW w:w="283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50DA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Age ≥46 years</w:t>
            </w:r>
          </w:p>
        </w:tc>
        <w:tc>
          <w:tcPr>
            <w:tcW w:w="1701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3A4C4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Overall</w:t>
            </w:r>
          </w:p>
        </w:tc>
      </w:tr>
      <w:tr w:rsidR="00223779" w14:paraId="38E352B9" w14:textId="77777777">
        <w:trPr>
          <w:trHeight w:val="320"/>
        </w:trPr>
        <w:tc>
          <w:tcPr>
            <w:tcW w:w="1511" w:type="dxa"/>
            <w:vMerge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9D9D9"/>
          </w:tcPr>
          <w:p w14:paraId="2D9612FB" w14:textId="77777777" w:rsidR="00223779" w:rsidRDefault="00223779"/>
        </w:tc>
        <w:tc>
          <w:tcPr>
            <w:tcW w:w="16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F75B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4588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Women</w:t>
            </w:r>
          </w:p>
        </w:tc>
        <w:tc>
          <w:tcPr>
            <w:tcW w:w="14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6CC4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6681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Women</w:t>
            </w:r>
          </w:p>
        </w:tc>
        <w:tc>
          <w:tcPr>
            <w:tcW w:w="1701" w:type="dxa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528E51C2" w14:textId="77777777" w:rsidR="00223779" w:rsidRDefault="00223779"/>
        </w:tc>
      </w:tr>
      <w:tr w:rsidR="00223779" w14:paraId="01430ED2" w14:textId="77777777">
        <w:trPr>
          <w:trHeight w:val="260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557B" w14:textId="77777777" w:rsidR="00223779" w:rsidRDefault="00000000">
            <w:pPr>
              <w:pStyle w:val="Text"/>
              <w:jc w:val="right"/>
            </w:pPr>
            <w:r>
              <w:rPr>
                <w:i/>
                <w:iCs/>
                <w:sz w:val="20"/>
                <w:szCs w:val="20"/>
              </w:rPr>
              <w:t>&lt;24 hours</w:t>
            </w:r>
          </w:p>
        </w:tc>
        <w:tc>
          <w:tcPr>
            <w:tcW w:w="16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1418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8.0% (53/666)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B056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16.7% (69/413)</w:t>
            </w:r>
          </w:p>
        </w:tc>
        <w:tc>
          <w:tcPr>
            <w:tcW w:w="14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C85B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0.5% (1/196)</w:t>
            </w: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2139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2.9% (5/173)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8391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8.8% (128/1448)</w:t>
            </w:r>
          </w:p>
        </w:tc>
      </w:tr>
      <w:tr w:rsidR="00223779" w14:paraId="6E7E2A9D" w14:textId="77777777">
        <w:trPr>
          <w:trHeight w:val="260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4A29" w14:textId="77777777" w:rsidR="00223779" w:rsidRDefault="00000000">
            <w:pPr>
              <w:pStyle w:val="Text"/>
              <w:jc w:val="right"/>
            </w:pPr>
            <w:r>
              <w:rPr>
                <w:i/>
                <w:iCs/>
                <w:sz w:val="20"/>
                <w:szCs w:val="20"/>
              </w:rPr>
              <w:t>24-47 hours</w:t>
            </w:r>
          </w:p>
        </w:tc>
        <w:tc>
          <w:tcPr>
            <w:tcW w:w="16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BF63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14.3% (30/210)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4304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18.8% (45/240)</w:t>
            </w:r>
          </w:p>
        </w:tc>
        <w:tc>
          <w:tcPr>
            <w:tcW w:w="14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F73F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3.5% (3/86)</w:t>
            </w: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2366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6.5% (6/93)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CF08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13.4% (84/629)</w:t>
            </w:r>
          </w:p>
        </w:tc>
      </w:tr>
      <w:tr w:rsidR="00223779" w14:paraId="2DD3B421" w14:textId="77777777">
        <w:trPr>
          <w:trHeight w:val="260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B886" w14:textId="77777777" w:rsidR="00223779" w:rsidRDefault="00000000">
            <w:pPr>
              <w:pStyle w:val="Text"/>
              <w:jc w:val="right"/>
            </w:pPr>
            <w:r>
              <w:rPr>
                <w:i/>
                <w:iCs/>
                <w:sz w:val="20"/>
                <w:szCs w:val="20"/>
              </w:rPr>
              <w:t>≥48 hours</w:t>
            </w:r>
          </w:p>
        </w:tc>
        <w:tc>
          <w:tcPr>
            <w:tcW w:w="160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F7AD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10.0% (3/30)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5939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31.9% (15/47)</w:t>
            </w:r>
          </w:p>
        </w:tc>
        <w:tc>
          <w:tcPr>
            <w:tcW w:w="14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D473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20.0% (2/10)</w:t>
            </w:r>
          </w:p>
        </w:tc>
        <w:tc>
          <w:tcPr>
            <w:tcW w:w="14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F31A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8.7% (2/23)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168B" w14:textId="77777777" w:rsidR="00223779" w:rsidRDefault="00000000">
            <w:pPr>
              <w:pStyle w:val="Text"/>
              <w:jc w:val="center"/>
            </w:pPr>
            <w:r>
              <w:rPr>
                <w:sz w:val="20"/>
                <w:szCs w:val="20"/>
              </w:rPr>
              <w:t>20.0% (22/110)</w:t>
            </w:r>
          </w:p>
        </w:tc>
      </w:tr>
    </w:tbl>
    <w:p w14:paraId="2DB22377" w14:textId="77777777" w:rsidR="00223779" w:rsidRDefault="00223779">
      <w:pPr>
        <w:pStyle w:val="Text"/>
        <w:widowControl w:val="0"/>
        <w:spacing w:after="120"/>
        <w:jc w:val="both"/>
        <w:rPr>
          <w:b/>
          <w:bCs/>
        </w:rPr>
      </w:pPr>
    </w:p>
    <w:p w14:paraId="26075F07" w14:textId="77777777" w:rsidR="00223779" w:rsidRDefault="00223779">
      <w:pPr>
        <w:pStyle w:val="Text"/>
        <w:spacing w:after="120" w:line="360" w:lineRule="auto"/>
        <w:jc w:val="both"/>
      </w:pPr>
    </w:p>
    <w:p w14:paraId="03D55E5F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2B921949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Table S10: Readmission rates†</w:t>
      </w:r>
    </w:p>
    <w:p w14:paraId="1EE0D6E5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</w:p>
    <w:tbl>
      <w:tblPr>
        <w:tblW w:w="69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539"/>
        <w:gridCol w:w="3402"/>
      </w:tblGrid>
      <w:tr w:rsidR="00223779" w14:paraId="1336117D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0CCB5" w14:textId="77777777" w:rsidR="00223779" w:rsidRDefault="0022377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A1A7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Readmission rate</w:t>
            </w:r>
          </w:p>
        </w:tc>
      </w:tr>
      <w:tr w:rsidR="00223779" w14:paraId="4EF6C4C0" w14:textId="77777777">
        <w:trPr>
          <w:trHeight w:val="223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99C1D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Postoperative readmissions in patients who had appendix-related surgery*</w:t>
            </w:r>
          </w:p>
        </w:tc>
      </w:tr>
      <w:tr w:rsidR="00223779" w14:paraId="1FE76E35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6C6C6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Overall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648FA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7.4% (166/2242)</w:t>
            </w:r>
          </w:p>
        </w:tc>
      </w:tr>
      <w:tr w:rsidR="00223779" w14:paraId="14105B01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BA2C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Positive appendicectomy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F5BC4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7.1% (137/1928)</w:t>
            </w:r>
          </w:p>
        </w:tc>
      </w:tr>
      <w:tr w:rsidR="00223779" w14:paraId="1A437F1E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FDEF3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Normal appendix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8E2DA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10.2% (23/226)</w:t>
            </w:r>
          </w:p>
        </w:tc>
      </w:tr>
      <w:tr w:rsidR="00223779" w14:paraId="312BE866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0650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Diagnostic laparoscopy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0DA8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6.8% (6/88)</w:t>
            </w:r>
          </w:p>
        </w:tc>
      </w:tr>
      <w:tr w:rsidR="00223779" w14:paraId="3DB37632" w14:textId="77777777">
        <w:trPr>
          <w:trHeight w:val="223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F60D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Total readmissions in patients who did not have any surgery</w:t>
            </w:r>
          </w:p>
        </w:tc>
      </w:tr>
      <w:tr w:rsidR="00223779" w14:paraId="574BFB35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A1E5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Overall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A3EE6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7.7% (136/1774)</w:t>
            </w:r>
          </w:p>
        </w:tc>
      </w:tr>
      <w:tr w:rsidR="00223779" w14:paraId="25F28363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11A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Ultrasound only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DD3C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6.6% (41/619)</w:t>
            </w:r>
          </w:p>
        </w:tc>
      </w:tr>
      <w:tr w:rsidR="00223779" w14:paraId="3C2197BD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73DD0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CT only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B2E0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8.8% (50/568)</w:t>
            </w:r>
          </w:p>
        </w:tc>
      </w:tr>
      <w:tr w:rsidR="00223779" w14:paraId="754C6D04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6F54A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Ultrasound and 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D0A9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10.0% (13/130)</w:t>
            </w:r>
          </w:p>
        </w:tc>
      </w:tr>
      <w:tr w:rsidR="00223779" w14:paraId="655AB471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F1FB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MRI*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FE96C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19.1% (4/21)</w:t>
            </w:r>
          </w:p>
        </w:tc>
      </w:tr>
      <w:tr w:rsidR="00223779" w14:paraId="1EF11B35" w14:textId="77777777">
        <w:trPr>
          <w:trHeight w:val="2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9359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 xml:space="preserve">     No imaging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9698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6.4% (28/436)</w:t>
            </w:r>
          </w:p>
        </w:tc>
      </w:tr>
    </w:tbl>
    <w:p w14:paraId="22AD9394" w14:textId="77777777" w:rsidR="00223779" w:rsidRDefault="00223779">
      <w:pPr>
        <w:pStyle w:val="Text"/>
        <w:widowControl w:val="0"/>
        <w:spacing w:after="120"/>
        <w:jc w:val="both"/>
        <w:rPr>
          <w:rFonts w:ascii="Arial" w:eastAsia="Arial" w:hAnsi="Arial" w:cs="Arial"/>
        </w:rPr>
      </w:pPr>
    </w:p>
    <w:p w14:paraId="780347A4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</w:p>
    <w:p w14:paraId="30E0453B" w14:textId="3830399F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†Data on postoperative readmissions </w:t>
      </w:r>
      <w:r>
        <w:rPr>
          <w:rFonts w:ascii="Arial" w:hAnsi="Arial"/>
          <w:lang w:val="de-DE"/>
        </w:rPr>
        <w:t xml:space="preserve">was </w:t>
      </w:r>
      <w:r>
        <w:rPr>
          <w:rFonts w:ascii="Arial" w:hAnsi="Arial"/>
        </w:rPr>
        <w:t xml:space="preserve">not collected for the 37 patients who were initially discharged and operated on </w:t>
      </w:r>
      <w:r>
        <w:rPr>
          <w:rFonts w:ascii="Arial" w:hAnsi="Arial"/>
          <w:lang w:val="pt-PT"/>
        </w:rPr>
        <w:t>readmission.</w:t>
      </w:r>
    </w:p>
    <w:p w14:paraId="26CCBC6E" w14:textId="77777777" w:rsidR="00223779" w:rsidRDefault="00000000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*Including appendicectomy or diagnostic </w:t>
      </w:r>
      <w:proofErr w:type="gramStart"/>
      <w:r>
        <w:rPr>
          <w:rFonts w:ascii="Arial" w:hAnsi="Arial"/>
        </w:rPr>
        <w:t>laparoscopy, but</w:t>
      </w:r>
      <w:proofErr w:type="gramEnd"/>
      <w:r>
        <w:rPr>
          <w:rFonts w:ascii="Arial" w:hAnsi="Arial"/>
        </w:rPr>
        <w:t xml:space="preserve"> excluding other procedures.</w:t>
      </w:r>
    </w:p>
    <w:p w14:paraId="17659331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2ECC805D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Table S11: Accuracy of intra-operative diagnosis</w:t>
      </w:r>
    </w:p>
    <w:p w14:paraId="76654726" w14:textId="77777777" w:rsidR="00223779" w:rsidRDefault="00223779">
      <w:pPr>
        <w:pStyle w:val="Text"/>
        <w:spacing w:after="120" w:line="360" w:lineRule="auto"/>
        <w:jc w:val="both"/>
        <w:rPr>
          <w:rFonts w:ascii="Arial" w:eastAsia="Arial" w:hAnsi="Arial" w:cs="Arial"/>
        </w:rPr>
      </w:pPr>
    </w:p>
    <w:tbl>
      <w:tblPr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612"/>
        <w:gridCol w:w="1757"/>
        <w:gridCol w:w="1758"/>
        <w:gridCol w:w="1757"/>
        <w:gridCol w:w="1758"/>
      </w:tblGrid>
      <w:tr w:rsidR="00223779" w14:paraId="34104E6C" w14:textId="77777777">
        <w:trPr>
          <w:trHeight w:val="223"/>
        </w:trPr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77511" w14:textId="77777777" w:rsidR="00223779" w:rsidRDefault="00223779"/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2D52E" w14:textId="77777777" w:rsidR="00223779" w:rsidRDefault="00223779"/>
        </w:tc>
        <w:tc>
          <w:tcPr>
            <w:tcW w:w="3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B934E8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Final histopathology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F710A" w14:textId="77777777" w:rsidR="00223779" w:rsidRDefault="00223779"/>
        </w:tc>
      </w:tr>
      <w:tr w:rsidR="00223779" w14:paraId="6887687B" w14:textId="77777777">
        <w:trPr>
          <w:trHeight w:val="223"/>
        </w:trPr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4B24" w14:textId="77777777" w:rsidR="00223779" w:rsidRDefault="00223779"/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588FF9" w14:textId="77777777" w:rsidR="00223779" w:rsidRDefault="00223779"/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832E1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Normal appendix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49909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Appendicitis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FCA0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 w:rsidR="00223779" w14:paraId="4D53CBC7" w14:textId="77777777">
        <w:trPr>
          <w:trHeight w:val="218"/>
        </w:trPr>
        <w:tc>
          <w:tcPr>
            <w:tcW w:w="16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01804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Surgeon’s intraoperative diagnosis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6296B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Normal appendix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FD12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144 (69.6)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7927E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63 (30.4)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BD6F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207</w:t>
            </w:r>
          </w:p>
        </w:tc>
      </w:tr>
      <w:tr w:rsidR="00223779" w14:paraId="7F3C4C98" w14:textId="77777777">
        <w:trPr>
          <w:trHeight w:val="275"/>
        </w:trPr>
        <w:tc>
          <w:tcPr>
            <w:tcW w:w="16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BD74A6" w14:textId="77777777" w:rsidR="00223779" w:rsidRDefault="00223779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0D899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Appendicitis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24CAF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90 (4.6)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74AD05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1889 (95.4)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E4B52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1979</w:t>
            </w:r>
          </w:p>
        </w:tc>
      </w:tr>
      <w:tr w:rsidR="00223779" w14:paraId="58ABCC8F" w14:textId="77777777">
        <w:trPr>
          <w:trHeight w:val="218"/>
        </w:trPr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3722F" w14:textId="77777777" w:rsidR="00223779" w:rsidRDefault="00223779"/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03E6D" w14:textId="77777777" w:rsidR="00223779" w:rsidRDefault="00000000">
            <w:pPr>
              <w:pStyle w:val="Text"/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7D523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844A7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1952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AEA990" w14:textId="77777777" w:rsidR="00223779" w:rsidRDefault="00000000">
            <w:pPr>
              <w:pStyle w:val="Text"/>
              <w:jc w:val="center"/>
            </w:pPr>
            <w:r>
              <w:rPr>
                <w:rFonts w:ascii="Arial" w:hAnsi="Arial"/>
                <w:sz w:val="20"/>
                <w:szCs w:val="20"/>
              </w:rPr>
              <w:t>2186</w:t>
            </w:r>
          </w:p>
        </w:tc>
      </w:tr>
    </w:tbl>
    <w:p w14:paraId="51D35C38" w14:textId="77777777" w:rsidR="00223779" w:rsidRDefault="00223779">
      <w:pPr>
        <w:pStyle w:val="Text"/>
        <w:widowControl w:val="0"/>
        <w:spacing w:after="120"/>
        <w:jc w:val="both"/>
        <w:rPr>
          <w:rFonts w:ascii="Arial" w:eastAsia="Arial" w:hAnsi="Arial" w:cs="Arial"/>
        </w:rPr>
      </w:pPr>
    </w:p>
    <w:p w14:paraId="3485BB1E" w14:textId="77777777" w:rsidR="00223779" w:rsidRDefault="00223779">
      <w:pPr>
        <w:pStyle w:val="Text"/>
        <w:rPr>
          <w:rFonts w:ascii="Arial" w:eastAsia="Arial" w:hAnsi="Arial" w:cs="Arial"/>
        </w:rPr>
      </w:pPr>
    </w:p>
    <w:p w14:paraId="09684186" w14:textId="77777777" w:rsidR="00223779" w:rsidRDefault="00000000">
      <w:pPr>
        <w:pStyle w:val="Text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Kappa=0.614 (95% confidence interval 0.558-0.670)</w:t>
      </w:r>
    </w:p>
    <w:p w14:paraId="7FA65A10" w14:textId="77777777" w:rsidR="00223779" w:rsidRDefault="00000000">
      <w:pPr>
        <w:pStyle w:val="Text"/>
      </w:pPr>
      <w:r>
        <w:rPr>
          <w:rFonts w:ascii="Arial Unicode MS" w:eastAsia="Arial Unicode MS" w:hAnsi="Arial Unicode MS" w:cs="Arial Unicode MS"/>
        </w:rPr>
        <w:br w:type="page"/>
      </w:r>
    </w:p>
    <w:p w14:paraId="2BDA1458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Figure S1. Normal appendicectomy rates stratified by risk </w:t>
      </w:r>
      <w:proofErr w:type="gramStart"/>
      <w:r>
        <w:rPr>
          <w:rFonts w:ascii="Arial" w:hAnsi="Arial"/>
          <w:b/>
          <w:bCs/>
        </w:rPr>
        <w:t>scores</w:t>
      </w:r>
      <w:proofErr w:type="gramEnd"/>
    </w:p>
    <w:p w14:paraId="684B497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2B4E1760" w14:textId="77777777" w:rsidR="00223779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NAR in women stratified by </w:t>
      </w:r>
      <w:proofErr w:type="gramStart"/>
      <w:r>
        <w:rPr>
          <w:rFonts w:ascii="Arial" w:hAnsi="Arial"/>
          <w:b/>
          <w:bCs/>
        </w:rPr>
        <w:t>AAS</w:t>
      </w:r>
      <w:proofErr w:type="gramEnd"/>
    </w:p>
    <w:p w14:paraId="6DE379BD" w14:textId="77777777" w:rsidR="00223779" w:rsidRDefault="00223779">
      <w:pPr>
        <w:pStyle w:val="ListParagraph"/>
        <w:rPr>
          <w:rFonts w:ascii="Arial" w:eastAsia="Arial" w:hAnsi="Arial" w:cs="Arial"/>
          <w:b/>
          <w:bCs/>
        </w:rPr>
      </w:pPr>
    </w:p>
    <w:p w14:paraId="4AC24CE2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4D115211" wp14:editId="2C862933">
            <wp:extent cx="4501187" cy="25010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0C524B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2BDD911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083D4881" w14:textId="77777777" w:rsidR="00223779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NAR in men stratified by </w:t>
      </w:r>
      <w:proofErr w:type="gramStart"/>
      <w:r>
        <w:rPr>
          <w:rFonts w:ascii="Arial" w:hAnsi="Arial"/>
          <w:b/>
          <w:bCs/>
        </w:rPr>
        <w:t>AIRS</w:t>
      </w:r>
      <w:proofErr w:type="gramEnd"/>
    </w:p>
    <w:p w14:paraId="321342D9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27F84B56" w14:textId="77777777" w:rsidR="00223779" w:rsidRDefault="00000000">
      <w:pPr>
        <w:pStyle w:val="Text"/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31E746E5" wp14:editId="10978FF8">
            <wp:extent cx="4501187" cy="250103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6EE72C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8A78761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E0192F0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1D6F0750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77840C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B5A25C0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C672292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1BA62391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FAF3423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0F7000F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6E23DA0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06315E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344C965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9304365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4B9677F2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6845B4C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EAF7162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2B9DC9B1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F4F665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0415E5AF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7192864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B2F588B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264D2FE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0FF35E9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9C40B1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20EACE06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AEE6D0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7D9B63A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5630C5AE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281C92A8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B3306D4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1F99DE04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6CE7019D" w14:textId="77777777" w:rsidR="00223779" w:rsidRDefault="00223779">
      <w:pPr>
        <w:pStyle w:val="Text"/>
        <w:rPr>
          <w:rFonts w:ascii="Arial" w:eastAsia="Arial" w:hAnsi="Arial" w:cs="Arial"/>
          <w:b/>
          <w:bCs/>
        </w:rPr>
      </w:pPr>
    </w:p>
    <w:p w14:paraId="7535CCC8" w14:textId="77777777" w:rsidR="00223779" w:rsidRDefault="00223779">
      <w:pPr>
        <w:pStyle w:val="Text"/>
        <w:rPr>
          <w:rFonts w:ascii="Arial" w:eastAsia="Arial" w:hAnsi="Arial" w:cs="Arial"/>
          <w:sz w:val="22"/>
          <w:szCs w:val="22"/>
        </w:rPr>
      </w:pPr>
    </w:p>
    <w:p w14:paraId="2BFE1250" w14:textId="77777777" w:rsidR="00223779" w:rsidRDefault="00000000">
      <w:pPr>
        <w:pStyle w:val="Text"/>
      </w:pPr>
      <w:r>
        <w:rPr>
          <w:rFonts w:ascii="Arial" w:hAnsi="Arial"/>
          <w:sz w:val="22"/>
          <w:szCs w:val="22"/>
        </w:rPr>
        <w:t>AAS: adult appendicitis score; AIRS: Appendicitis Inflammatory Response Score; NAR: normal appendicectomy rate</w:t>
      </w:r>
    </w:p>
    <w:sectPr w:rsidR="0022377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57E5" w14:textId="77777777" w:rsidR="00517A8E" w:rsidRDefault="00517A8E">
      <w:r>
        <w:separator/>
      </w:r>
    </w:p>
  </w:endnote>
  <w:endnote w:type="continuationSeparator" w:id="0">
    <w:p w14:paraId="6D4BCC2F" w14:textId="77777777" w:rsidR="00517A8E" w:rsidRDefault="0051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C470" w14:textId="77777777" w:rsidR="00223779" w:rsidRDefault="00000000">
    <w:pPr>
      <w:pStyle w:val="Footer"/>
      <w:tabs>
        <w:tab w:val="clear" w:pos="9360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F6D2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DC29" w14:textId="77777777" w:rsidR="00223779" w:rsidRDefault="00223779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FF02" w14:textId="77777777" w:rsidR="00517A8E" w:rsidRDefault="00517A8E">
      <w:r>
        <w:separator/>
      </w:r>
    </w:p>
  </w:footnote>
  <w:footnote w:type="continuationSeparator" w:id="0">
    <w:p w14:paraId="59A7CE80" w14:textId="77777777" w:rsidR="00517A8E" w:rsidRDefault="0051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E27" w14:textId="77777777" w:rsidR="00223779" w:rsidRDefault="00223779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FB74" w14:textId="77777777" w:rsidR="00223779" w:rsidRDefault="00223779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243"/>
    <w:multiLevelType w:val="hybridMultilevel"/>
    <w:tmpl w:val="E6BE90DC"/>
    <w:numStyleLink w:val="ImportierterStil1"/>
  </w:abstractNum>
  <w:abstractNum w:abstractNumId="1" w15:restartNumberingAfterBreak="0">
    <w:nsid w:val="498F436A"/>
    <w:multiLevelType w:val="hybridMultilevel"/>
    <w:tmpl w:val="E6BE90DC"/>
    <w:styleLink w:val="ImportierterStil1"/>
    <w:lvl w:ilvl="0" w:tplc="E3E8BC6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2AE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006E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9434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AC4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0B58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C29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01BC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8CB44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3231091">
    <w:abstractNumId w:val="1"/>
  </w:num>
  <w:num w:numId="2" w16cid:durableId="9682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79"/>
    <w:rsid w:val="00223779"/>
    <w:rsid w:val="00355923"/>
    <w:rsid w:val="00517A8E"/>
    <w:rsid w:val="0055082B"/>
    <w:rsid w:val="005B7BF9"/>
    <w:rsid w:val="005F6D2B"/>
    <w:rsid w:val="00756BF2"/>
    <w:rsid w:val="00965D80"/>
    <w:rsid w:val="009E724E"/>
    <w:rsid w:val="00A82102"/>
    <w:rsid w:val="00D14400"/>
    <w:rsid w:val="00D40955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68378"/>
  <w15:docId w15:val="{F9A32504-34F9-914D-B220-0B97E41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Text">
    <w:name w:val="Text"/>
    <w:rPr>
      <w:rFonts w:ascii="Aptos" w:eastAsia="Aptos" w:hAnsi="Aptos" w:cs="Apto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467886"/>
      <w:sz w:val="22"/>
      <w:szCs w:val="22"/>
      <w:u w:val="single" w:color="467886"/>
    </w:rPr>
  </w:style>
  <w:style w:type="paragraph" w:customStyle="1" w:styleId="Normal1">
    <w:name w:val="Normal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F6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GB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07227"/>
          <c:y val="5.85619E-2"/>
          <c:w val="0.88777300000000003"/>
          <c:h val="0.7515540000000000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16-45 years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Sheet1!$B$1:$J$1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≥17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0.27800000000000002</c:v>
                </c:pt>
                <c:pt idx="1">
                  <c:v>0.27200000000000002</c:v>
                </c:pt>
                <c:pt idx="2">
                  <c:v>0.21099999999999999</c:v>
                </c:pt>
                <c:pt idx="3">
                  <c:v>0.20499999999999999</c:v>
                </c:pt>
                <c:pt idx="4">
                  <c:v>0.121</c:v>
                </c:pt>
                <c:pt idx="5">
                  <c:v>0.158</c:v>
                </c:pt>
                <c:pt idx="6">
                  <c:v>0.123</c:v>
                </c:pt>
                <c:pt idx="7">
                  <c:v>0.11899999999999999</c:v>
                </c:pt>
                <c:pt idx="8">
                  <c:v>0.08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AE-814C-91B7-90EC23C7C2A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≥46 years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Sheet1!$B$1:$J$1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≥17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0.25</c:v>
                </c:pt>
                <c:pt idx="1">
                  <c:v>0.25</c:v>
                </c:pt>
                <c:pt idx="2">
                  <c:v>8.6999999999999994E-2</c:v>
                </c:pt>
                <c:pt idx="3">
                  <c:v>0</c:v>
                </c:pt>
                <c:pt idx="4">
                  <c:v>0</c:v>
                </c:pt>
                <c:pt idx="5">
                  <c:v>7.6999999999999999E-2</c:v>
                </c:pt>
                <c:pt idx="6">
                  <c:v>0</c:v>
                </c:pt>
                <c:pt idx="7">
                  <c:v>3.2000000000000001E-2</c:v>
                </c:pt>
                <c:pt idx="8">
                  <c:v>3.2000000000000001E-2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AE-814C-91B7-90EC23C7C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808080"/>
            </a:solidFill>
            <a:prstDash val="solid"/>
            <a:miter lim="800000"/>
          </a:ln>
        </c:spPr>
        <c:txPr>
          <a:bodyPr rot="0"/>
          <a:lstStyle/>
          <a:p>
            <a:pPr>
              <a:defRPr sz="11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12700" cap="flat">
            <a:solidFill>
              <a:srgbClr val="808080"/>
            </a:solidFill>
            <a:prstDash val="solid"/>
            <a:miter lim="800000"/>
          </a:ln>
        </c:spPr>
        <c:txPr>
          <a:bodyPr rot="0"/>
          <a:lstStyle/>
          <a:p>
            <a:pPr>
              <a:defRPr sz="11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2094734552"/>
        <c:crosses val="autoZero"/>
        <c:crossBetween val="between"/>
        <c:majorUnit val="7.4999999999999997E-2"/>
        <c:minorUnit val="3.7499999999999999E-2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0029600000000001"/>
          <c:y val="0.92893800000000004"/>
          <c:w val="0.44941599999999998"/>
          <c:h val="7.1061899999999997E-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100" b="0" i="0" u="none" strike="noStrike">
              <a:solidFill>
                <a:srgbClr val="000000"/>
              </a:solidFill>
              <a:latin typeface="Times New Roman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GB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07227"/>
          <c:y val="5.85619E-2"/>
          <c:w val="0.88777300000000003"/>
          <c:h val="0.7515540000000000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16-45 years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≥9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0.33300000000000002</c:v>
                </c:pt>
                <c:pt idx="1">
                  <c:v>0.14599999999999999</c:v>
                </c:pt>
                <c:pt idx="2">
                  <c:v>0.14499999999999999</c:v>
                </c:pt>
                <c:pt idx="3">
                  <c:v>0.05</c:v>
                </c:pt>
                <c:pt idx="4">
                  <c:v>0.04</c:v>
                </c:pt>
                <c:pt idx="5">
                  <c:v>2.5000000000000001E-2</c:v>
                </c:pt>
                <c:pt idx="6">
                  <c:v>4.9000000000000002E-2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ED-644A-B06E-511EECA700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≥46 years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≥9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8.3000000000000004E-2</c:v>
                </c:pt>
                <c:pt idx="1">
                  <c:v>0</c:v>
                </c:pt>
                <c:pt idx="2">
                  <c:v>0.02</c:v>
                </c:pt>
                <c:pt idx="3">
                  <c:v>3.2000000000000001E-2</c:v>
                </c:pt>
                <c:pt idx="4">
                  <c:v>3.9E-2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ED-644A-B06E-511EECA70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808080"/>
            </a:solidFill>
            <a:prstDash val="solid"/>
            <a:miter lim="800000"/>
          </a:ln>
        </c:spPr>
        <c:txPr>
          <a:bodyPr rot="0"/>
          <a:lstStyle/>
          <a:p>
            <a:pPr>
              <a:defRPr sz="11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12700" cap="flat">
            <a:solidFill>
              <a:srgbClr val="808080"/>
            </a:solidFill>
            <a:prstDash val="solid"/>
            <a:miter lim="800000"/>
          </a:ln>
        </c:spPr>
        <c:txPr>
          <a:bodyPr rot="0"/>
          <a:lstStyle/>
          <a:p>
            <a:pPr>
              <a:defRPr sz="1100" b="0" i="0" u="none" strike="noStrike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2094734552"/>
        <c:crosses val="autoZero"/>
        <c:crossBetween val="between"/>
        <c:majorUnit val="0.1"/>
        <c:minorUnit val="0.0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0029600000000001"/>
          <c:y val="0.92893800000000004"/>
          <c:w val="0.44941599999999998"/>
          <c:h val="7.1061899999999997E-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100" b="0" i="0" u="none" strike="noStrike">
              <a:solidFill>
                <a:srgbClr val="000000"/>
              </a:solidFill>
              <a:latin typeface="Times New Roman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10554</Words>
  <Characters>60159</Characters>
  <Application>Microsoft Office Word</Application>
  <DocSecurity>0</DocSecurity>
  <Lines>501</Lines>
  <Paragraphs>141</Paragraphs>
  <ScaleCrop>false</ScaleCrop>
  <Company/>
  <LinksUpToDate>false</LinksUpToDate>
  <CharactersWithSpaces>70572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 Nepogodiev (Applied Health Research)</cp:lastModifiedBy>
  <cp:revision>9</cp:revision>
  <dcterms:created xsi:type="dcterms:W3CDTF">2024-02-21T19:57:00Z</dcterms:created>
  <dcterms:modified xsi:type="dcterms:W3CDTF">2024-02-21T20:09:00Z</dcterms:modified>
</cp:coreProperties>
</file>