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7C16" w14:textId="5444339D" w:rsidR="000E79BC" w:rsidRDefault="00287A8B">
      <w:pPr>
        <w:shd w:val="clear" w:color="auto" w:fill="FFFFFF"/>
        <w:spacing w:line="360" w:lineRule="auto"/>
        <w:rPr>
          <w:color w:val="222222"/>
        </w:rPr>
      </w:pPr>
      <w:r>
        <w:rPr>
          <w:b/>
          <w:color w:val="222222"/>
        </w:rPr>
        <w:t>Type</w:t>
      </w:r>
      <w:r>
        <w:rPr>
          <w:color w:val="222222"/>
        </w:rPr>
        <w:t xml:space="preserve">: </w:t>
      </w:r>
      <w:r w:rsidR="00F527B7">
        <w:rPr>
          <w:color w:val="222222"/>
        </w:rPr>
        <w:t>Conference abstract</w:t>
      </w:r>
    </w:p>
    <w:p w14:paraId="425B5054" w14:textId="77777777" w:rsidR="000E79BC" w:rsidRDefault="000E79BC">
      <w:pPr>
        <w:shd w:val="clear" w:color="auto" w:fill="FFFFFF"/>
        <w:spacing w:line="360" w:lineRule="auto"/>
        <w:rPr>
          <w:b/>
          <w:color w:val="222222"/>
        </w:rPr>
      </w:pPr>
    </w:p>
    <w:p w14:paraId="44257591" w14:textId="71FC9756" w:rsidR="000E79BC" w:rsidRPr="00883466" w:rsidRDefault="00883466">
      <w:pPr>
        <w:shd w:val="clear" w:color="auto" w:fill="FFFFFF"/>
        <w:spacing w:line="360" w:lineRule="auto"/>
        <w:rPr>
          <w:bCs/>
          <w:color w:val="222222"/>
        </w:rPr>
      </w:pPr>
      <w:r>
        <w:rPr>
          <w:b/>
          <w:color w:val="222222"/>
        </w:rPr>
        <w:t xml:space="preserve">Article title: </w:t>
      </w:r>
      <w:r w:rsidR="00287A8B" w:rsidRPr="00883466">
        <w:rPr>
          <w:bCs/>
          <w:color w:val="222222"/>
        </w:rPr>
        <w:t xml:space="preserve">Development of a risk of bias assessment tool specifically for meta-analysis of trials for surgical site infection </w:t>
      </w:r>
    </w:p>
    <w:p w14:paraId="6C1C075A" w14:textId="77777777" w:rsidR="000E79BC" w:rsidRDefault="000E79BC">
      <w:pPr>
        <w:spacing w:line="360" w:lineRule="auto"/>
        <w:ind w:right="-40"/>
      </w:pPr>
    </w:p>
    <w:p w14:paraId="0A52F312" w14:textId="5A2098C6" w:rsidR="000E79BC" w:rsidRDefault="00287A8B">
      <w:pPr>
        <w:spacing w:line="360" w:lineRule="auto"/>
        <w:ind w:right="-40"/>
        <w:rPr>
          <w:vertAlign w:val="superscript"/>
        </w:rPr>
      </w:pPr>
      <w:r>
        <w:t>Sivesh K Kamarajah,</w:t>
      </w:r>
      <w:r w:rsidRPr="00736851">
        <w:rPr>
          <w:vertAlign w:val="superscript"/>
        </w:rPr>
        <w:t>1</w:t>
      </w:r>
      <w:r>
        <w:t xml:space="preserve"> Elizabeth Li,</w:t>
      </w:r>
      <w:r w:rsidR="00736851" w:rsidRPr="00736851">
        <w:rPr>
          <w:vertAlign w:val="superscript"/>
        </w:rPr>
        <w:t>1</w:t>
      </w:r>
      <w:r>
        <w:t xml:space="preserve"> </w:t>
      </w:r>
      <w:proofErr w:type="spellStart"/>
      <w:r>
        <w:t>Adesoji</w:t>
      </w:r>
      <w:proofErr w:type="spellEnd"/>
      <w:r>
        <w:t xml:space="preserve"> O Ademuyiwa,</w:t>
      </w:r>
      <w:r w:rsidR="00736851">
        <w:rPr>
          <w:vertAlign w:val="superscript"/>
        </w:rPr>
        <w:t>2</w:t>
      </w:r>
      <w:r>
        <w:t xml:space="preserve"> Adewale O. Adisa,</w:t>
      </w:r>
      <w:r w:rsidR="00736851">
        <w:rPr>
          <w:vertAlign w:val="superscript"/>
        </w:rPr>
        <w:t>3</w:t>
      </w:r>
      <w:r>
        <w:t xml:space="preserve"> Ewen Harrison,</w:t>
      </w:r>
      <w:r w:rsidR="00736851">
        <w:rPr>
          <w:vertAlign w:val="superscript"/>
        </w:rPr>
        <w:t>4</w:t>
      </w:r>
      <w:r>
        <w:t xml:space="preserve"> JC Allen Ingabire,</w:t>
      </w:r>
      <w:r w:rsidR="00AD485B">
        <w:rPr>
          <w:vertAlign w:val="superscript"/>
        </w:rPr>
        <w:t>5</w:t>
      </w:r>
      <w:r>
        <w:t xml:space="preserve"> </w:t>
      </w:r>
    </w:p>
    <w:p w14:paraId="6CAC48A4" w14:textId="77777777" w:rsidR="00736851" w:rsidRDefault="00736851">
      <w:pPr>
        <w:spacing w:line="360" w:lineRule="auto"/>
        <w:ind w:right="-40"/>
        <w:rPr>
          <w:vertAlign w:val="superscript"/>
        </w:rPr>
      </w:pPr>
    </w:p>
    <w:p w14:paraId="45176BA6" w14:textId="3099ACB1" w:rsidR="00736851" w:rsidRDefault="00736851" w:rsidP="00736851">
      <w:pPr>
        <w:pStyle w:val="ListParagraph"/>
        <w:numPr>
          <w:ilvl w:val="0"/>
          <w:numId w:val="1"/>
        </w:numPr>
        <w:spacing w:line="360" w:lineRule="auto"/>
        <w:ind w:right="-40"/>
      </w:pPr>
      <w:r>
        <w:t>NIHR Global Health Research Unit on Global Surgery, Department of Applied Health Sciences, University of Birmingham, United Kingdom.</w:t>
      </w:r>
    </w:p>
    <w:p w14:paraId="0856857B" w14:textId="77777777" w:rsidR="00736851" w:rsidRDefault="00736851" w:rsidP="00736851">
      <w:pPr>
        <w:pStyle w:val="ListParagraph"/>
        <w:numPr>
          <w:ilvl w:val="0"/>
          <w:numId w:val="1"/>
        </w:numPr>
        <w:spacing w:line="360" w:lineRule="auto"/>
        <w:ind w:right="-40"/>
      </w:pPr>
      <w:r w:rsidRPr="00736851">
        <w:t xml:space="preserve">Paediatric Surgery Unit, Department of Surgery, Faculty of Clinical Sciences, College of Medicine, University of Lagos, Lagos, Nigeria. </w:t>
      </w:r>
    </w:p>
    <w:p w14:paraId="4A6C64F0" w14:textId="7A4B83F1" w:rsidR="00736851" w:rsidRDefault="00736851" w:rsidP="00736851">
      <w:pPr>
        <w:pStyle w:val="ListParagraph"/>
        <w:numPr>
          <w:ilvl w:val="0"/>
          <w:numId w:val="1"/>
        </w:numPr>
        <w:spacing w:line="360" w:lineRule="auto"/>
        <w:ind w:right="-40"/>
      </w:pPr>
      <w:r w:rsidRPr="00736851">
        <w:t>Department of Surgery, Obafemi Awolowo University, Ile-Ife, 220005, Osun State, Nigeria.</w:t>
      </w:r>
    </w:p>
    <w:p w14:paraId="0BF20615" w14:textId="1A2C66DA" w:rsidR="00736851" w:rsidRDefault="00736851" w:rsidP="00736851">
      <w:pPr>
        <w:pStyle w:val="ListParagraph"/>
        <w:numPr>
          <w:ilvl w:val="0"/>
          <w:numId w:val="1"/>
        </w:numPr>
        <w:spacing w:line="360" w:lineRule="auto"/>
        <w:ind w:right="-40"/>
      </w:pPr>
      <w:r w:rsidRPr="00736851">
        <w:t>National Institute for Health Research Global Health Research Unit on Global Surgery, Centre for Medical Informatics, Usher Institute, University of Edinburgh, UK</w:t>
      </w:r>
    </w:p>
    <w:p w14:paraId="50E51EA0" w14:textId="5B0925F8" w:rsidR="00AD485B" w:rsidRDefault="00AD485B" w:rsidP="00736851">
      <w:pPr>
        <w:pStyle w:val="ListParagraph"/>
        <w:numPr>
          <w:ilvl w:val="0"/>
          <w:numId w:val="1"/>
        </w:numPr>
        <w:spacing w:line="360" w:lineRule="auto"/>
        <w:ind w:right="-40"/>
      </w:pPr>
      <w:r w:rsidRPr="00AD485B">
        <w:t>Department of Surgery, College of Medicine and Health Sciences, University of Rwanda, Kigali, Rwanda</w:t>
      </w:r>
    </w:p>
    <w:p w14:paraId="7922B882" w14:textId="77777777" w:rsidR="00AD485B" w:rsidRDefault="00AD485B" w:rsidP="00AD485B">
      <w:pPr>
        <w:spacing w:line="360" w:lineRule="auto"/>
        <w:ind w:right="-40"/>
      </w:pPr>
    </w:p>
    <w:p w14:paraId="600070B9" w14:textId="08A5709D" w:rsidR="000E79BC" w:rsidRDefault="00287A8B">
      <w:pPr>
        <w:spacing w:line="360" w:lineRule="auto"/>
        <w:ind w:right="-40"/>
      </w:pPr>
      <w:r>
        <w:rPr>
          <w:b/>
        </w:rPr>
        <w:t xml:space="preserve">Corresponding author: </w:t>
      </w:r>
      <w:proofErr w:type="spellStart"/>
      <w:r w:rsidR="00883466">
        <w:t>Sivesh</w:t>
      </w:r>
      <w:proofErr w:type="spellEnd"/>
      <w:r w:rsidR="00883466">
        <w:t xml:space="preserve"> </w:t>
      </w:r>
      <w:proofErr w:type="spellStart"/>
      <w:r w:rsidR="00883466">
        <w:t>Kamarajah</w:t>
      </w:r>
      <w:proofErr w:type="spellEnd"/>
      <w:r>
        <w:t xml:space="preserve">, NIHR Global Health Research Unit on Global Surgery, Department of Applied Health Sciences, University of Birmingham, United Kingdom. Email: </w:t>
      </w:r>
      <w:proofErr w:type="spellStart"/>
      <w:r w:rsidR="00883466" w:rsidRPr="00883466">
        <w:t>Sivesh</w:t>
      </w:r>
      <w:proofErr w:type="spellEnd"/>
      <w:r w:rsidR="00883466" w:rsidRPr="00883466">
        <w:t xml:space="preserve"> </w:t>
      </w:r>
      <w:proofErr w:type="spellStart"/>
      <w:r w:rsidR="00883466" w:rsidRPr="00883466">
        <w:t>Kamarajah</w:t>
      </w:r>
      <w:proofErr w:type="spellEnd"/>
      <w:r w:rsidR="00883466">
        <w:t xml:space="preserve">, </w:t>
      </w:r>
      <w:hyperlink r:id="rId5" w:history="1">
        <w:r w:rsidR="00883466" w:rsidRPr="0059245C">
          <w:rPr>
            <w:rStyle w:val="Hyperlink"/>
          </w:rPr>
          <w:t>s.k.kamarajah@bham.ac.uk</w:t>
        </w:r>
      </w:hyperlink>
      <w:r w:rsidR="00883466">
        <w:t xml:space="preserve"> </w:t>
      </w:r>
    </w:p>
    <w:p w14:paraId="5419DF59" w14:textId="77777777" w:rsidR="00AD485B" w:rsidRDefault="00AD485B">
      <w:pPr>
        <w:shd w:val="clear" w:color="auto" w:fill="FFFFFF"/>
        <w:spacing w:line="360" w:lineRule="auto"/>
        <w:rPr>
          <w:color w:val="222222"/>
        </w:rPr>
      </w:pPr>
    </w:p>
    <w:p w14:paraId="36B727D8" w14:textId="77777777" w:rsidR="00883466" w:rsidRDefault="00883466">
      <w:pPr>
        <w:shd w:val="clear" w:color="auto" w:fill="FFFFFF"/>
        <w:spacing w:line="360" w:lineRule="auto"/>
        <w:rPr>
          <w:b/>
          <w:bCs/>
          <w:color w:val="222222"/>
        </w:rPr>
      </w:pPr>
    </w:p>
    <w:p w14:paraId="75B3F349" w14:textId="77777777" w:rsidR="00883466" w:rsidRDefault="00883466">
      <w:pPr>
        <w:shd w:val="clear" w:color="auto" w:fill="FFFFFF"/>
        <w:spacing w:line="360" w:lineRule="auto"/>
        <w:rPr>
          <w:b/>
          <w:bCs/>
          <w:color w:val="222222"/>
        </w:rPr>
      </w:pPr>
    </w:p>
    <w:p w14:paraId="7D926DBF" w14:textId="77777777" w:rsidR="009025AB" w:rsidRDefault="009025AB">
      <w:pPr>
        <w:shd w:val="clear" w:color="auto" w:fill="FFFFFF"/>
        <w:spacing w:line="360" w:lineRule="auto"/>
        <w:rPr>
          <w:b/>
          <w:bCs/>
          <w:color w:val="222222"/>
        </w:rPr>
      </w:pPr>
      <w:r>
        <w:rPr>
          <w:b/>
          <w:bCs/>
          <w:color w:val="222222"/>
        </w:rPr>
        <w:br w:type="page"/>
      </w:r>
    </w:p>
    <w:p w14:paraId="0F79A4FF" w14:textId="45663880" w:rsidR="00883466" w:rsidRDefault="009025AB">
      <w:pPr>
        <w:shd w:val="clear" w:color="auto" w:fill="FFFFFF"/>
        <w:spacing w:line="360" w:lineRule="auto"/>
        <w:rPr>
          <w:b/>
          <w:bCs/>
          <w:color w:val="222222"/>
        </w:rPr>
      </w:pPr>
      <w:r>
        <w:rPr>
          <w:b/>
          <w:bCs/>
          <w:color w:val="222222"/>
        </w:rPr>
        <w:lastRenderedPageBreak/>
        <w:t>Abstract</w:t>
      </w:r>
    </w:p>
    <w:p w14:paraId="68090573" w14:textId="26E9818A" w:rsidR="009025AB" w:rsidRPr="009025AB" w:rsidRDefault="009025AB" w:rsidP="009025AB">
      <w:pPr>
        <w:shd w:val="clear" w:color="auto" w:fill="FFFFFF"/>
        <w:spacing w:before="240" w:after="240" w:line="360" w:lineRule="auto"/>
        <w:rPr>
          <w:bCs/>
          <w:color w:val="222222"/>
        </w:rPr>
      </w:pPr>
      <w:r w:rsidRPr="009025AB">
        <w:rPr>
          <w:b/>
          <w:bCs/>
          <w:color w:val="222222"/>
        </w:rPr>
        <w:t>Background:</w:t>
      </w:r>
      <w:r>
        <w:rPr>
          <w:b/>
          <w:color w:val="222222"/>
        </w:rPr>
        <w:t xml:space="preserve"> </w:t>
      </w:r>
      <w:r w:rsidRPr="009025AB">
        <w:rPr>
          <w:bCs/>
          <w:color w:val="222222"/>
        </w:rPr>
        <w:t>Surgical site infections (SSIs) occur in up to 20% of post-surgical patients, contributing to higher morbidity, prolonged hospital stays, and increased costs. Current tools for assessing the risk of bias (</w:t>
      </w:r>
      <w:proofErr w:type="spellStart"/>
      <w:r w:rsidRPr="009025AB">
        <w:rPr>
          <w:bCs/>
          <w:color w:val="222222"/>
        </w:rPr>
        <w:t>RoB</w:t>
      </w:r>
      <w:proofErr w:type="spellEnd"/>
      <w:r w:rsidRPr="009025AB">
        <w:rPr>
          <w:bCs/>
          <w:color w:val="222222"/>
        </w:rPr>
        <w:t xml:space="preserve">) in randomized controlled trials (RCTs), such as RoB-2, are not specifically designed for surgical studies. An SSI-specific </w:t>
      </w:r>
      <w:proofErr w:type="spellStart"/>
      <w:r w:rsidRPr="009025AB">
        <w:rPr>
          <w:bCs/>
          <w:color w:val="222222"/>
        </w:rPr>
        <w:t>RoB</w:t>
      </w:r>
      <w:proofErr w:type="spellEnd"/>
      <w:r w:rsidRPr="009025AB">
        <w:rPr>
          <w:bCs/>
          <w:color w:val="222222"/>
        </w:rPr>
        <w:t xml:space="preserve"> tool is needed to ensure accurate evaluation of RCTs and improve the reliability of meta-analyses focused on SSI prevention.</w:t>
      </w:r>
    </w:p>
    <w:p w14:paraId="3D22F621" w14:textId="10B6ABEA" w:rsidR="009025AB" w:rsidRPr="009025AB" w:rsidRDefault="009025AB" w:rsidP="009025AB">
      <w:pPr>
        <w:shd w:val="clear" w:color="auto" w:fill="FFFFFF"/>
        <w:spacing w:before="240" w:after="240" w:line="360" w:lineRule="auto"/>
        <w:rPr>
          <w:bCs/>
          <w:color w:val="222222"/>
        </w:rPr>
      </w:pPr>
      <w:r w:rsidRPr="009025AB">
        <w:rPr>
          <w:b/>
          <w:bCs/>
          <w:color w:val="222222"/>
        </w:rPr>
        <w:t>Method:</w:t>
      </w:r>
      <w:r>
        <w:rPr>
          <w:b/>
          <w:color w:val="222222"/>
        </w:rPr>
        <w:t xml:space="preserve"> </w:t>
      </w:r>
      <w:r w:rsidRPr="009025AB">
        <w:rPr>
          <w:bCs/>
          <w:color w:val="222222"/>
        </w:rPr>
        <w:t>A four-stage consensus process involving international experts in SSI trials, including surgeons, statisticians, and methodologists, was undertaken to develop an adapted SSI-specific RoB-2 tool. Experts from organizations such as the NIHR Global Health Research Unit and the Royal College of Surgeons contributed to refining the tool. The process identified key domains relevant to SSIs, with a focus on maintaining essential quality assessment criteria.</w:t>
      </w:r>
    </w:p>
    <w:p w14:paraId="0149124E" w14:textId="2356BC8F" w:rsidR="009025AB" w:rsidRPr="009025AB" w:rsidRDefault="009025AB" w:rsidP="009025AB">
      <w:pPr>
        <w:shd w:val="clear" w:color="auto" w:fill="FFFFFF"/>
        <w:spacing w:before="240" w:after="240" w:line="360" w:lineRule="auto"/>
        <w:rPr>
          <w:bCs/>
          <w:color w:val="222222"/>
        </w:rPr>
      </w:pPr>
      <w:r w:rsidRPr="009025AB">
        <w:rPr>
          <w:b/>
          <w:bCs/>
          <w:color w:val="222222"/>
        </w:rPr>
        <w:t>Results:</w:t>
      </w:r>
      <w:r>
        <w:rPr>
          <w:b/>
          <w:color w:val="222222"/>
        </w:rPr>
        <w:t xml:space="preserve"> </w:t>
      </w:r>
      <w:r w:rsidRPr="009025AB">
        <w:rPr>
          <w:bCs/>
          <w:color w:val="222222"/>
        </w:rPr>
        <w:t>The final SSI-specific RoB-2 tool includes eight essential domains, with additional adaptation from the original Cochrane RoB-2 tool. Two domains—blinding of patients and surgeons—were categorized as desirable but not essential, as they are often impractical in SSI trials. The new tool provides a more focused assessment framework tailored to SSIs.</w:t>
      </w:r>
    </w:p>
    <w:p w14:paraId="6B4FE44B" w14:textId="136E5EDA" w:rsidR="009025AB" w:rsidRDefault="009025AB" w:rsidP="009025AB">
      <w:pPr>
        <w:shd w:val="clear" w:color="auto" w:fill="FFFFFF"/>
        <w:spacing w:before="240" w:after="240" w:line="360" w:lineRule="auto"/>
        <w:rPr>
          <w:b/>
          <w:color w:val="222222"/>
        </w:rPr>
      </w:pPr>
      <w:r w:rsidRPr="009025AB">
        <w:rPr>
          <w:b/>
          <w:bCs/>
          <w:color w:val="222222"/>
        </w:rPr>
        <w:t>Conclusion:</w:t>
      </w:r>
      <w:r>
        <w:rPr>
          <w:b/>
          <w:color w:val="222222"/>
        </w:rPr>
        <w:t xml:space="preserve"> </w:t>
      </w:r>
      <w:r w:rsidRPr="009025AB">
        <w:rPr>
          <w:bCs/>
          <w:color w:val="222222"/>
        </w:rPr>
        <w:t>The SSI-specific RoB-2 tool fills a critical gap in evaluating RCTs in surgical research. Its application can improve the quality of future trials and meta-analyses, guiding better clinical practice and policy decisions for SSI prevention and management.</w:t>
      </w:r>
    </w:p>
    <w:p w14:paraId="72529D39" w14:textId="77777777" w:rsidR="009025AB" w:rsidRDefault="009025AB" w:rsidP="009025AB">
      <w:pPr>
        <w:shd w:val="clear" w:color="auto" w:fill="FFFFFF"/>
        <w:spacing w:before="240" w:after="240" w:line="360" w:lineRule="auto"/>
        <w:rPr>
          <w:b/>
          <w:color w:val="222222"/>
        </w:rPr>
      </w:pPr>
    </w:p>
    <w:p w14:paraId="7179FB92" w14:textId="716310B5" w:rsidR="000E79BC" w:rsidRDefault="000E79BC">
      <w:pPr>
        <w:spacing w:line="360" w:lineRule="auto"/>
      </w:pPr>
    </w:p>
    <w:sectPr w:rsidR="000E79BC">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1563D"/>
    <w:multiLevelType w:val="hybridMultilevel"/>
    <w:tmpl w:val="FCD65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76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ENLayout&gt;"/>
    <w:docVar w:name="EN.Libraries" w:val="&lt;Libraries&gt;&lt;/Libraries&gt;"/>
  </w:docVars>
  <w:rsids>
    <w:rsidRoot w:val="000E79BC"/>
    <w:rsid w:val="000E79BC"/>
    <w:rsid w:val="00125940"/>
    <w:rsid w:val="001D3340"/>
    <w:rsid w:val="00287A8B"/>
    <w:rsid w:val="0031223A"/>
    <w:rsid w:val="00323A4B"/>
    <w:rsid w:val="00736851"/>
    <w:rsid w:val="00883466"/>
    <w:rsid w:val="009025AB"/>
    <w:rsid w:val="00934AF7"/>
    <w:rsid w:val="00AD485B"/>
    <w:rsid w:val="00BA2E26"/>
    <w:rsid w:val="00C0779C"/>
    <w:rsid w:val="00C10639"/>
    <w:rsid w:val="00C32387"/>
    <w:rsid w:val="00D9060C"/>
    <w:rsid w:val="00F527B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18C"/>
  <w15:docId w15:val="{AB21DB9A-B2B4-DD4B-94BD-76F81AE7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6851"/>
    <w:pPr>
      <w:ind w:left="720"/>
      <w:contextualSpacing/>
    </w:pPr>
  </w:style>
  <w:style w:type="paragraph" w:customStyle="1" w:styleId="EndNoteBibliographyTitle">
    <w:name w:val="EndNote Bibliography Title"/>
    <w:basedOn w:val="Normal"/>
    <w:link w:val="EndNoteBibliographyTitleChar"/>
    <w:rsid w:val="0031223A"/>
    <w:pPr>
      <w:jc w:val="center"/>
    </w:pPr>
  </w:style>
  <w:style w:type="character" w:customStyle="1" w:styleId="EndNoteBibliographyTitleChar">
    <w:name w:val="EndNote Bibliography Title Char"/>
    <w:basedOn w:val="DefaultParagraphFont"/>
    <w:link w:val="EndNoteBibliographyTitle"/>
    <w:rsid w:val="0031223A"/>
  </w:style>
  <w:style w:type="paragraph" w:customStyle="1" w:styleId="EndNoteBibliography">
    <w:name w:val="EndNote Bibliography"/>
    <w:basedOn w:val="Normal"/>
    <w:link w:val="EndNoteBibliographyChar"/>
    <w:rsid w:val="0031223A"/>
    <w:pPr>
      <w:spacing w:line="360" w:lineRule="auto"/>
    </w:pPr>
  </w:style>
  <w:style w:type="character" w:customStyle="1" w:styleId="EndNoteBibliographyChar">
    <w:name w:val="EndNote Bibliography Char"/>
    <w:basedOn w:val="DefaultParagraphFont"/>
    <w:link w:val="EndNoteBibliography"/>
    <w:rsid w:val="0031223A"/>
  </w:style>
  <w:style w:type="character" w:styleId="Hyperlink">
    <w:name w:val="Hyperlink"/>
    <w:basedOn w:val="DefaultParagraphFont"/>
    <w:uiPriority w:val="99"/>
    <w:unhideWhenUsed/>
    <w:rsid w:val="00883466"/>
    <w:rPr>
      <w:color w:val="0000FF" w:themeColor="hyperlink"/>
      <w:u w:val="single"/>
    </w:rPr>
  </w:style>
  <w:style w:type="character" w:styleId="UnresolvedMention">
    <w:name w:val="Unresolved Mention"/>
    <w:basedOn w:val="DefaultParagraphFont"/>
    <w:uiPriority w:val="99"/>
    <w:semiHidden/>
    <w:unhideWhenUsed/>
    <w:rsid w:val="0088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084541">
      <w:bodyDiv w:val="1"/>
      <w:marLeft w:val="0"/>
      <w:marRight w:val="0"/>
      <w:marTop w:val="0"/>
      <w:marBottom w:val="0"/>
      <w:divBdr>
        <w:top w:val="none" w:sz="0" w:space="0" w:color="auto"/>
        <w:left w:val="none" w:sz="0" w:space="0" w:color="auto"/>
        <w:bottom w:val="none" w:sz="0" w:space="0" w:color="auto"/>
        <w:right w:val="none" w:sz="0" w:space="0" w:color="auto"/>
      </w:divBdr>
    </w:div>
    <w:div w:id="150524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kamarajah@b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Aneel Bhangu (Applied Health Sciences)</cp:lastModifiedBy>
  <cp:revision>3</cp:revision>
  <dcterms:created xsi:type="dcterms:W3CDTF">2024-10-13T19:38:00Z</dcterms:created>
  <dcterms:modified xsi:type="dcterms:W3CDTF">2024-10-13T19:41:00Z</dcterms:modified>
</cp:coreProperties>
</file>